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D46C" w14:textId="77777777" w:rsidR="00E32459" w:rsidRPr="00B84464" w:rsidRDefault="00E32459" w:rsidP="00E32459">
      <w:pPr>
        <w:pStyle w:val="Heading1"/>
        <w:spacing w:before="0"/>
        <w:rPr>
          <w:rFonts w:ascii="Times New Roman" w:hAnsi="Times New Roman" w:cs="Times New Roman"/>
          <w:b/>
          <w:bCs/>
          <w:color w:val="000000" w:themeColor="text1"/>
          <w:sz w:val="22"/>
          <w:szCs w:val="22"/>
        </w:rPr>
      </w:pPr>
      <w:r w:rsidRPr="00B84464">
        <w:rPr>
          <w:rFonts w:ascii="Times New Roman" w:hAnsi="Times New Roman" w:cs="Times New Roman"/>
          <w:b/>
          <w:bCs/>
          <w:color w:val="000000" w:themeColor="text1"/>
          <w:sz w:val="22"/>
          <w:szCs w:val="22"/>
        </w:rPr>
        <w:t>Analysis of Assessments</w:t>
      </w:r>
    </w:p>
    <w:p w14:paraId="0413110C" w14:textId="77777777" w:rsidR="00E32459" w:rsidRPr="00B84464" w:rsidRDefault="00E32459" w:rsidP="00E32459">
      <w:pPr>
        <w:rPr>
          <w:sz w:val="22"/>
          <w:szCs w:val="22"/>
        </w:rPr>
      </w:pPr>
    </w:p>
    <w:p w14:paraId="6A81BCB8" w14:textId="77777777" w:rsidR="00E32459" w:rsidRPr="00B84464" w:rsidRDefault="00E32459" w:rsidP="00E32459">
      <w:pPr>
        <w:rPr>
          <w:sz w:val="22"/>
          <w:szCs w:val="22"/>
        </w:rPr>
      </w:pPr>
      <w:r w:rsidRPr="00B84464">
        <w:rPr>
          <w:sz w:val="22"/>
          <w:szCs w:val="22"/>
        </w:rPr>
        <w:t xml:space="preserve">Discussions about the EPP’s assessments occur during Annual Data Sharing sessions and through faculty </w:t>
      </w:r>
      <w:r>
        <w:rPr>
          <w:sz w:val="22"/>
          <w:szCs w:val="22"/>
        </w:rPr>
        <w:t xml:space="preserve">communication </w:t>
      </w:r>
      <w:r w:rsidRPr="00B84464">
        <w:rPr>
          <w:sz w:val="22"/>
          <w:szCs w:val="22"/>
        </w:rPr>
        <w:t>with cooperating teachers</w:t>
      </w:r>
      <w:r>
        <w:rPr>
          <w:sz w:val="22"/>
          <w:szCs w:val="22"/>
        </w:rPr>
        <w:t xml:space="preserve"> during field experiences</w:t>
      </w:r>
      <w:r w:rsidRPr="00B84464">
        <w:rPr>
          <w:sz w:val="22"/>
          <w:szCs w:val="22"/>
        </w:rPr>
        <w:t xml:space="preserve">. The EPP faculty and partner school cooperating teachers have frequently participated in the process of creating, revising, or piloting the EPP’s assessments. Since 2016, the EPP faculty have contributed as subject matter experts for decisions related to disposition assessments, TLC unit rubrics descriptors, and the scoring of a student teacher rater reliability training sample. The faculty have also been engaged in the approval of word choices for </w:t>
      </w:r>
      <w:r>
        <w:rPr>
          <w:sz w:val="22"/>
          <w:szCs w:val="22"/>
        </w:rPr>
        <w:t xml:space="preserve">rubric descriptors in </w:t>
      </w:r>
      <w:r w:rsidRPr="00B84464">
        <w:rPr>
          <w:sz w:val="22"/>
          <w:szCs w:val="22"/>
        </w:rPr>
        <w:t xml:space="preserve">the student teaching assessment instrument, the development of pre-student teaching field experience forms, and the revisions of the TLC rubrics. </w:t>
      </w:r>
    </w:p>
    <w:p w14:paraId="0E31C400" w14:textId="77777777" w:rsidR="00E32459" w:rsidRPr="00B84464" w:rsidRDefault="00E32459" w:rsidP="00E32459">
      <w:pPr>
        <w:rPr>
          <w:sz w:val="22"/>
          <w:szCs w:val="22"/>
        </w:rPr>
      </w:pPr>
    </w:p>
    <w:p w14:paraId="2638EFB8" w14:textId="77777777" w:rsidR="00E32459" w:rsidRPr="00B84464" w:rsidRDefault="00E32459" w:rsidP="00E32459">
      <w:pPr>
        <w:rPr>
          <w:sz w:val="22"/>
          <w:szCs w:val="22"/>
        </w:rPr>
      </w:pPr>
      <w:r w:rsidRPr="00B84464">
        <w:rPr>
          <w:sz w:val="22"/>
          <w:szCs w:val="22"/>
        </w:rPr>
        <w:t xml:space="preserve">The assessment coordinator has represented the EPP on various NDACTE or Network for Excellence of Teaching (NExT) assessment projects. </w:t>
      </w:r>
      <w:r>
        <w:rPr>
          <w:sz w:val="22"/>
          <w:szCs w:val="22"/>
        </w:rPr>
        <w:t>A</w:t>
      </w:r>
      <w:r w:rsidRPr="00B84464">
        <w:rPr>
          <w:sz w:val="22"/>
          <w:szCs w:val="22"/>
        </w:rPr>
        <w:t xml:space="preserve">ssessment drafts </w:t>
      </w:r>
      <w:r>
        <w:rPr>
          <w:sz w:val="22"/>
          <w:szCs w:val="22"/>
        </w:rPr>
        <w:t>have been shared with</w:t>
      </w:r>
      <w:r w:rsidRPr="00B84464">
        <w:rPr>
          <w:sz w:val="22"/>
          <w:szCs w:val="22"/>
        </w:rPr>
        <w:t xml:space="preserve"> the EPP faculty for </w:t>
      </w:r>
      <w:r>
        <w:rPr>
          <w:sz w:val="22"/>
          <w:szCs w:val="22"/>
        </w:rPr>
        <w:t>suggestions</w:t>
      </w:r>
      <w:r w:rsidRPr="00B84464">
        <w:rPr>
          <w:sz w:val="22"/>
          <w:szCs w:val="22"/>
        </w:rPr>
        <w:t xml:space="preserve"> or pilot feedback from stakeholders. If an assessment instrument is not leading to valid or reliable outcomes, the assessment coordinator will share the validity or reliability concern and seek input on improvements. The EPP and its stakeholders have had an active role in the development and acceptance of the assessments. </w:t>
      </w:r>
    </w:p>
    <w:p w14:paraId="715136C3" w14:textId="77777777" w:rsidR="00E32459" w:rsidRDefault="00E32459" w:rsidP="00E32459"/>
    <w:p w14:paraId="53AEDDA3" w14:textId="77777777" w:rsidR="00E32459" w:rsidRPr="00770BAD" w:rsidRDefault="00E32459" w:rsidP="00E32459">
      <w:pPr>
        <w:rPr>
          <w:sz w:val="10"/>
          <w:szCs w:val="10"/>
        </w:rPr>
      </w:pPr>
    </w:p>
    <w:tbl>
      <w:tblPr>
        <w:tblStyle w:val="TableGrid"/>
        <w:tblW w:w="0" w:type="auto"/>
        <w:tblLook w:val="04A0" w:firstRow="1" w:lastRow="0" w:firstColumn="1" w:lastColumn="0" w:noHBand="0" w:noVBand="1"/>
      </w:tblPr>
      <w:tblGrid>
        <w:gridCol w:w="1459"/>
        <w:gridCol w:w="1206"/>
        <w:gridCol w:w="1880"/>
        <w:gridCol w:w="2015"/>
        <w:gridCol w:w="2790"/>
      </w:tblGrid>
      <w:tr w:rsidR="00E32459" w:rsidRPr="00AF61AF" w14:paraId="0176E93A" w14:textId="77777777" w:rsidTr="00BA2AAC">
        <w:tc>
          <w:tcPr>
            <w:tcW w:w="1703" w:type="dxa"/>
            <w:shd w:val="clear" w:color="auto" w:fill="F2F2F2" w:themeFill="background1" w:themeFillShade="F2"/>
          </w:tcPr>
          <w:p w14:paraId="7679875C" w14:textId="77777777" w:rsidR="00E32459" w:rsidRPr="00AF61AF" w:rsidRDefault="00E32459" w:rsidP="00BA2AAC">
            <w:pPr>
              <w:rPr>
                <w:b/>
                <w:bCs/>
              </w:rPr>
            </w:pPr>
            <w:r w:rsidRPr="00AF61AF">
              <w:rPr>
                <w:b/>
                <w:bCs/>
              </w:rPr>
              <w:t>Assessment</w:t>
            </w:r>
          </w:p>
        </w:tc>
        <w:tc>
          <w:tcPr>
            <w:tcW w:w="1206" w:type="dxa"/>
            <w:shd w:val="clear" w:color="auto" w:fill="F2F2F2" w:themeFill="background1" w:themeFillShade="F2"/>
          </w:tcPr>
          <w:p w14:paraId="2F4AC9C3" w14:textId="77777777" w:rsidR="00E32459" w:rsidRPr="00AF61AF" w:rsidRDefault="00E32459" w:rsidP="00BA2AAC">
            <w:pPr>
              <w:rPr>
                <w:b/>
                <w:bCs/>
              </w:rPr>
            </w:pPr>
            <w:r w:rsidRPr="00AF61AF">
              <w:rPr>
                <w:b/>
                <w:bCs/>
              </w:rPr>
              <w:t>Type</w:t>
            </w:r>
          </w:p>
        </w:tc>
        <w:tc>
          <w:tcPr>
            <w:tcW w:w="2846" w:type="dxa"/>
            <w:shd w:val="clear" w:color="auto" w:fill="F2F2F2" w:themeFill="background1" w:themeFillShade="F2"/>
          </w:tcPr>
          <w:p w14:paraId="632B02B2" w14:textId="77777777" w:rsidR="00E32459" w:rsidRPr="00AF61AF" w:rsidRDefault="00E32459" w:rsidP="00BA2AAC">
            <w:pPr>
              <w:rPr>
                <w:b/>
                <w:bCs/>
              </w:rPr>
            </w:pPr>
            <w:r w:rsidRPr="00AF61AF">
              <w:rPr>
                <w:b/>
                <w:bCs/>
              </w:rPr>
              <w:t>Time of Completion</w:t>
            </w:r>
          </w:p>
        </w:tc>
        <w:tc>
          <w:tcPr>
            <w:tcW w:w="3420" w:type="dxa"/>
            <w:shd w:val="clear" w:color="auto" w:fill="F2F2F2" w:themeFill="background1" w:themeFillShade="F2"/>
          </w:tcPr>
          <w:p w14:paraId="04136419" w14:textId="77777777" w:rsidR="00E32459" w:rsidRPr="002921CD" w:rsidRDefault="00E32459" w:rsidP="00BA2AAC">
            <w:pPr>
              <w:rPr>
                <w:b/>
                <w:bCs/>
              </w:rPr>
            </w:pPr>
            <w:r w:rsidRPr="002921CD">
              <w:rPr>
                <w:b/>
                <w:bCs/>
              </w:rPr>
              <w:t>Validity and Reliability</w:t>
            </w:r>
            <w:r>
              <w:rPr>
                <w:b/>
                <w:bCs/>
              </w:rPr>
              <w:t xml:space="preserve"> Link</w:t>
            </w:r>
          </w:p>
        </w:tc>
        <w:tc>
          <w:tcPr>
            <w:tcW w:w="4927" w:type="dxa"/>
            <w:shd w:val="clear" w:color="auto" w:fill="F2F2F2" w:themeFill="background1" w:themeFillShade="F2"/>
          </w:tcPr>
          <w:p w14:paraId="76F3C91A" w14:textId="77777777" w:rsidR="00E32459" w:rsidRPr="00AF61AF" w:rsidRDefault="00E32459" w:rsidP="00BA2AAC">
            <w:pPr>
              <w:rPr>
                <w:b/>
                <w:bCs/>
              </w:rPr>
            </w:pPr>
            <w:r>
              <w:rPr>
                <w:b/>
                <w:bCs/>
              </w:rPr>
              <w:t>Comments</w:t>
            </w:r>
          </w:p>
        </w:tc>
      </w:tr>
      <w:tr w:rsidR="00E32459" w:rsidRPr="00AF61AF" w14:paraId="53BF5580" w14:textId="77777777" w:rsidTr="00BA2AAC">
        <w:trPr>
          <w:trHeight w:val="980"/>
        </w:trPr>
        <w:tc>
          <w:tcPr>
            <w:tcW w:w="1703" w:type="dxa"/>
          </w:tcPr>
          <w:p w14:paraId="49DE166F" w14:textId="77777777" w:rsidR="00E32459" w:rsidRPr="00AF61AF" w:rsidRDefault="00E32459" w:rsidP="00BA2AAC">
            <w:r>
              <w:t>Student Teacher Assessment Tool (STOT)</w:t>
            </w:r>
          </w:p>
        </w:tc>
        <w:tc>
          <w:tcPr>
            <w:tcW w:w="1206" w:type="dxa"/>
          </w:tcPr>
          <w:p w14:paraId="680F7B49" w14:textId="77777777" w:rsidR="00E32459" w:rsidRPr="00AF61AF" w:rsidRDefault="00E32459" w:rsidP="00BA2AAC">
            <w:r w:rsidRPr="00AF61AF">
              <w:t xml:space="preserve">EPP </w:t>
            </w:r>
          </w:p>
        </w:tc>
        <w:tc>
          <w:tcPr>
            <w:tcW w:w="2846" w:type="dxa"/>
          </w:tcPr>
          <w:p w14:paraId="34F99874" w14:textId="77777777" w:rsidR="00E32459" w:rsidRPr="00AF61AF" w:rsidRDefault="00E32459" w:rsidP="00BA2AAC">
            <w:r w:rsidRPr="00AF61AF">
              <w:t>Senior Year</w:t>
            </w:r>
          </w:p>
        </w:tc>
        <w:tc>
          <w:tcPr>
            <w:tcW w:w="3420" w:type="dxa"/>
          </w:tcPr>
          <w:p w14:paraId="665A7A6C" w14:textId="77777777" w:rsidR="00E32459" w:rsidRPr="003D1A4B" w:rsidRDefault="00E32459" w:rsidP="00BA2AAC">
            <w:pPr>
              <w:rPr>
                <w:sz w:val="20"/>
                <w:szCs w:val="20"/>
              </w:rPr>
            </w:pPr>
            <w:hyperlink r:id="rId4" w:history="1">
              <w:r w:rsidRPr="003D1A4B">
                <w:rPr>
                  <w:rStyle w:val="Hyperlink"/>
                  <w:sz w:val="20"/>
                </w:rPr>
                <w:t>Student Teaching Assessment Instrument Validity and Reliability</w:t>
              </w:r>
            </w:hyperlink>
          </w:p>
          <w:p w14:paraId="38176ABC" w14:textId="77777777" w:rsidR="00E32459" w:rsidRPr="003D1A4B" w:rsidRDefault="00E32459" w:rsidP="00BA2AAC">
            <w:pPr>
              <w:rPr>
                <w:sz w:val="20"/>
                <w:szCs w:val="20"/>
              </w:rPr>
            </w:pPr>
          </w:p>
          <w:p w14:paraId="75667E8B" w14:textId="77777777" w:rsidR="00E32459" w:rsidRPr="003D1A4B" w:rsidRDefault="00E32459" w:rsidP="00BA2AAC">
            <w:pPr>
              <w:rPr>
                <w:sz w:val="20"/>
                <w:szCs w:val="20"/>
              </w:rPr>
            </w:pPr>
            <w:hyperlink r:id="rId5" w:history="1">
              <w:r w:rsidRPr="003D1A4B">
                <w:rPr>
                  <w:rStyle w:val="Hyperlink"/>
                  <w:sz w:val="20"/>
                </w:rPr>
                <w:t>Rater-Reliability Training</w:t>
              </w:r>
            </w:hyperlink>
          </w:p>
        </w:tc>
        <w:tc>
          <w:tcPr>
            <w:tcW w:w="4927" w:type="dxa"/>
          </w:tcPr>
          <w:p w14:paraId="781188F0" w14:textId="77777777" w:rsidR="00E32459" w:rsidRPr="00AF61AF" w:rsidRDefault="00E32459" w:rsidP="00BA2AAC">
            <w:r>
              <w:t>The EPP participated in NDACTE efforts towards the construction of the instrument, pilot efforts, and the assessment data as well as the NDACTE grant for rater-reliability</w:t>
            </w:r>
          </w:p>
        </w:tc>
      </w:tr>
      <w:tr w:rsidR="00E32459" w:rsidRPr="00AF61AF" w14:paraId="239BD7D1" w14:textId="77777777" w:rsidTr="00BA2AAC">
        <w:tc>
          <w:tcPr>
            <w:tcW w:w="1703" w:type="dxa"/>
          </w:tcPr>
          <w:p w14:paraId="6E3FE225" w14:textId="77777777" w:rsidR="00E32459" w:rsidRPr="00AF61AF" w:rsidRDefault="00E32459" w:rsidP="00BA2AAC">
            <w:r w:rsidRPr="00AF61AF">
              <w:t xml:space="preserve">Teaching for Learning Capstone </w:t>
            </w:r>
            <w:r>
              <w:t xml:space="preserve">(TLC) </w:t>
            </w:r>
            <w:r w:rsidRPr="00AF61AF">
              <w:t>Unit</w:t>
            </w:r>
          </w:p>
        </w:tc>
        <w:tc>
          <w:tcPr>
            <w:tcW w:w="1206" w:type="dxa"/>
          </w:tcPr>
          <w:p w14:paraId="23D38CB2" w14:textId="77777777" w:rsidR="00E32459" w:rsidRPr="00AF61AF" w:rsidRDefault="00E32459" w:rsidP="00BA2AAC">
            <w:r w:rsidRPr="00AF61AF">
              <w:t>EPP</w:t>
            </w:r>
          </w:p>
        </w:tc>
        <w:tc>
          <w:tcPr>
            <w:tcW w:w="2846" w:type="dxa"/>
          </w:tcPr>
          <w:p w14:paraId="05C947D5" w14:textId="77777777" w:rsidR="00E32459" w:rsidRPr="00AF61AF" w:rsidRDefault="00E32459" w:rsidP="00BA2AAC">
            <w:r w:rsidRPr="00AF61AF">
              <w:t>Student Teaching Experience</w:t>
            </w:r>
          </w:p>
        </w:tc>
        <w:tc>
          <w:tcPr>
            <w:tcW w:w="3420" w:type="dxa"/>
          </w:tcPr>
          <w:p w14:paraId="15D56E94" w14:textId="77777777" w:rsidR="00E32459" w:rsidRDefault="00E32459" w:rsidP="00BA2AAC">
            <w:pPr>
              <w:rPr>
                <w:sz w:val="20"/>
                <w:szCs w:val="20"/>
              </w:rPr>
            </w:pPr>
            <w:hyperlink r:id="rId6" w:history="1">
              <w:r w:rsidRPr="00342C2B">
                <w:rPr>
                  <w:rStyle w:val="Hyperlink"/>
                  <w:sz w:val="20"/>
                </w:rPr>
                <w:t>Lawshe Validity for Rubric Descriptors</w:t>
              </w:r>
            </w:hyperlink>
          </w:p>
          <w:p w14:paraId="37FFE015" w14:textId="77777777" w:rsidR="00E32459" w:rsidRDefault="00E32459" w:rsidP="00BA2AAC">
            <w:pPr>
              <w:rPr>
                <w:sz w:val="20"/>
                <w:szCs w:val="20"/>
              </w:rPr>
            </w:pPr>
          </w:p>
          <w:p w14:paraId="6E4467EF" w14:textId="77777777" w:rsidR="00E32459" w:rsidRPr="003D1A4B" w:rsidRDefault="00E32459" w:rsidP="00BA2AAC">
            <w:pPr>
              <w:rPr>
                <w:sz w:val="20"/>
                <w:szCs w:val="20"/>
              </w:rPr>
            </w:pPr>
            <w:hyperlink r:id="rId7" w:history="1">
              <w:r w:rsidRPr="00342C2B">
                <w:rPr>
                  <w:rStyle w:val="Hyperlink"/>
                  <w:sz w:val="20"/>
                </w:rPr>
                <w:t>Factor Analysis and Cronbach Reliability</w:t>
              </w:r>
            </w:hyperlink>
          </w:p>
        </w:tc>
        <w:tc>
          <w:tcPr>
            <w:tcW w:w="4927" w:type="dxa"/>
          </w:tcPr>
          <w:p w14:paraId="515421A7" w14:textId="77777777" w:rsidR="00E32459" w:rsidRPr="00AF61AF" w:rsidRDefault="00E32459" w:rsidP="00BA2AAC">
            <w:r>
              <w:t>The TLC is similar to edTPA but modified by EPP faculty and area cooperating teachers. EPP faculty worked to establish validity and reliability of the TLC assessment form.</w:t>
            </w:r>
          </w:p>
        </w:tc>
      </w:tr>
      <w:tr w:rsidR="00E32459" w:rsidRPr="00AF61AF" w14:paraId="6C691E12" w14:textId="77777777" w:rsidTr="00BA2AAC">
        <w:tc>
          <w:tcPr>
            <w:tcW w:w="1703" w:type="dxa"/>
          </w:tcPr>
          <w:p w14:paraId="2CB31FBB" w14:textId="77777777" w:rsidR="00E32459" w:rsidRPr="00AF61AF" w:rsidRDefault="00E32459" w:rsidP="00BA2AAC">
            <w:r>
              <w:t>Dispositions</w:t>
            </w:r>
          </w:p>
        </w:tc>
        <w:tc>
          <w:tcPr>
            <w:tcW w:w="1206" w:type="dxa"/>
          </w:tcPr>
          <w:p w14:paraId="6ED50240" w14:textId="77777777" w:rsidR="00E32459" w:rsidRPr="00AF61AF" w:rsidRDefault="00E32459" w:rsidP="00BA2AAC">
            <w:r>
              <w:t>EPP</w:t>
            </w:r>
          </w:p>
        </w:tc>
        <w:tc>
          <w:tcPr>
            <w:tcW w:w="2846" w:type="dxa"/>
          </w:tcPr>
          <w:p w14:paraId="7CC44FBA" w14:textId="77777777" w:rsidR="00E32459" w:rsidRPr="00AF61AF" w:rsidRDefault="00E32459" w:rsidP="00BA2AAC">
            <w:r>
              <w:t>Introduction to Education through Student Teaching</w:t>
            </w:r>
          </w:p>
        </w:tc>
        <w:tc>
          <w:tcPr>
            <w:tcW w:w="3420" w:type="dxa"/>
          </w:tcPr>
          <w:p w14:paraId="123383CA" w14:textId="77777777" w:rsidR="00E32459" w:rsidRPr="003D1A4B" w:rsidRDefault="00E32459" w:rsidP="00BA2AAC">
            <w:pPr>
              <w:rPr>
                <w:sz w:val="20"/>
                <w:szCs w:val="20"/>
              </w:rPr>
            </w:pPr>
            <w:hyperlink r:id="rId8" w:history="1">
              <w:r w:rsidRPr="006D69AD">
                <w:rPr>
                  <w:rStyle w:val="Hyperlink"/>
                  <w:sz w:val="20"/>
                </w:rPr>
                <w:t>Lawshe Validity and Cronbach Reliability</w:t>
              </w:r>
            </w:hyperlink>
          </w:p>
        </w:tc>
        <w:tc>
          <w:tcPr>
            <w:tcW w:w="4927" w:type="dxa"/>
          </w:tcPr>
          <w:p w14:paraId="5D53A18A" w14:textId="77777777" w:rsidR="00E32459" w:rsidRPr="00AF61AF" w:rsidRDefault="00E32459" w:rsidP="00BA2AAC">
            <w:r>
              <w:t>The EPP participated in the NDACTE collaborative efforts for the construction of the instrument, the pilot, and assessment efforts, as well as the Lawshe content validity data collection and analysis</w:t>
            </w:r>
          </w:p>
        </w:tc>
      </w:tr>
      <w:tr w:rsidR="00E32459" w:rsidRPr="00AF61AF" w14:paraId="2E441FD3" w14:textId="77777777" w:rsidTr="00BA2AAC">
        <w:tc>
          <w:tcPr>
            <w:tcW w:w="1703" w:type="dxa"/>
          </w:tcPr>
          <w:p w14:paraId="17B38ACF" w14:textId="77777777" w:rsidR="00E32459" w:rsidRPr="00AF61AF" w:rsidRDefault="00E32459" w:rsidP="00BA2AAC">
            <w:r>
              <w:t>Exit Survey</w:t>
            </w:r>
          </w:p>
        </w:tc>
        <w:tc>
          <w:tcPr>
            <w:tcW w:w="1206" w:type="dxa"/>
          </w:tcPr>
          <w:p w14:paraId="5DE0DAD3" w14:textId="77777777" w:rsidR="00E32459" w:rsidRPr="00AF61AF" w:rsidRDefault="00E32459" w:rsidP="00BA2AAC">
            <w:r w:rsidRPr="00692ABE">
              <w:t>Proprietary</w:t>
            </w:r>
          </w:p>
        </w:tc>
        <w:tc>
          <w:tcPr>
            <w:tcW w:w="2846" w:type="dxa"/>
          </w:tcPr>
          <w:p w14:paraId="1637B044" w14:textId="77777777" w:rsidR="00E32459" w:rsidRPr="00AF61AF" w:rsidRDefault="00E32459" w:rsidP="00BA2AAC">
            <w:r>
              <w:t>Seniors provide feedback on preparation experiences near the time of graduation</w:t>
            </w:r>
          </w:p>
        </w:tc>
        <w:tc>
          <w:tcPr>
            <w:tcW w:w="3420" w:type="dxa"/>
          </w:tcPr>
          <w:p w14:paraId="7171CB7C" w14:textId="77777777" w:rsidR="00E32459" w:rsidRPr="003D1A4B" w:rsidRDefault="00E32459" w:rsidP="00BA2AAC">
            <w:pPr>
              <w:rPr>
                <w:sz w:val="20"/>
                <w:szCs w:val="20"/>
              </w:rPr>
            </w:pPr>
            <w:hyperlink r:id="rId9" w:history="1">
              <w:r w:rsidRPr="003D1A4B">
                <w:rPr>
                  <w:rStyle w:val="Hyperlink"/>
                  <w:sz w:val="20"/>
                </w:rPr>
                <w:t>Exit Survey Validity and Reliability</w:t>
              </w:r>
            </w:hyperlink>
          </w:p>
        </w:tc>
        <w:tc>
          <w:tcPr>
            <w:tcW w:w="4927" w:type="dxa"/>
          </w:tcPr>
          <w:p w14:paraId="35984963" w14:textId="77777777" w:rsidR="00E32459" w:rsidRPr="00AF61AF" w:rsidRDefault="00E32459" w:rsidP="00BA2AAC">
            <w:r>
              <w:t>The EPP participated in the NExT Common Metrics efforts for the development of instruments, revisions, pilot administration, and assessment efforts</w:t>
            </w:r>
          </w:p>
        </w:tc>
      </w:tr>
      <w:tr w:rsidR="00E32459" w:rsidRPr="00AF61AF" w14:paraId="13B7651E" w14:textId="77777777" w:rsidTr="00BA2AAC">
        <w:tc>
          <w:tcPr>
            <w:tcW w:w="1703" w:type="dxa"/>
          </w:tcPr>
          <w:p w14:paraId="0685B8B9" w14:textId="77777777" w:rsidR="00E32459" w:rsidRPr="00AF61AF" w:rsidRDefault="00E32459" w:rsidP="00BA2AAC">
            <w:r>
              <w:lastRenderedPageBreak/>
              <w:t>Completer Survey</w:t>
            </w:r>
          </w:p>
        </w:tc>
        <w:tc>
          <w:tcPr>
            <w:tcW w:w="1206" w:type="dxa"/>
          </w:tcPr>
          <w:p w14:paraId="530C473B" w14:textId="77777777" w:rsidR="00E32459" w:rsidRPr="00AF61AF" w:rsidRDefault="00E32459" w:rsidP="00BA2AAC">
            <w:r w:rsidRPr="00692ABE">
              <w:t>Proprietary</w:t>
            </w:r>
          </w:p>
        </w:tc>
        <w:tc>
          <w:tcPr>
            <w:tcW w:w="2846" w:type="dxa"/>
          </w:tcPr>
          <w:p w14:paraId="19157ADA" w14:textId="77777777" w:rsidR="00E32459" w:rsidRPr="00AF61AF" w:rsidRDefault="00E32459" w:rsidP="00BA2AAC">
            <w:r>
              <w:t>Completers provide feedback on preparation in spring of the first year of teaching</w:t>
            </w:r>
          </w:p>
        </w:tc>
        <w:tc>
          <w:tcPr>
            <w:tcW w:w="3420" w:type="dxa"/>
          </w:tcPr>
          <w:p w14:paraId="6816BD8E" w14:textId="77777777" w:rsidR="00E32459" w:rsidRPr="003D1A4B" w:rsidRDefault="00E32459" w:rsidP="00BA2AAC">
            <w:pPr>
              <w:rPr>
                <w:sz w:val="20"/>
                <w:szCs w:val="20"/>
              </w:rPr>
            </w:pPr>
            <w:hyperlink r:id="rId10" w:history="1">
              <w:r w:rsidRPr="003D1A4B">
                <w:rPr>
                  <w:rStyle w:val="Hyperlink"/>
                  <w:sz w:val="20"/>
                </w:rPr>
                <w:t>Completer Survey Validity and Reliability</w:t>
              </w:r>
            </w:hyperlink>
          </w:p>
        </w:tc>
        <w:tc>
          <w:tcPr>
            <w:tcW w:w="4927" w:type="dxa"/>
          </w:tcPr>
          <w:p w14:paraId="4B72F1E9" w14:textId="77777777" w:rsidR="00E32459" w:rsidRPr="00AF61AF" w:rsidRDefault="00E32459" w:rsidP="00BA2AAC">
            <w:r>
              <w:t>The EPP participated in the NExT Common Metrics efforts for the development of instruments, revisions, pilot administration, and assessment efforts</w:t>
            </w:r>
          </w:p>
        </w:tc>
      </w:tr>
      <w:tr w:rsidR="00E32459" w:rsidRPr="00AF61AF" w14:paraId="2AE3B607" w14:textId="77777777" w:rsidTr="00BA2AAC">
        <w:tc>
          <w:tcPr>
            <w:tcW w:w="1703" w:type="dxa"/>
          </w:tcPr>
          <w:p w14:paraId="7DAEF1D5" w14:textId="77777777" w:rsidR="00E32459" w:rsidRPr="00AF61AF" w:rsidRDefault="00E32459" w:rsidP="00BA2AAC">
            <w:r>
              <w:t>Employer Survey</w:t>
            </w:r>
          </w:p>
        </w:tc>
        <w:tc>
          <w:tcPr>
            <w:tcW w:w="1206" w:type="dxa"/>
          </w:tcPr>
          <w:p w14:paraId="3B807296" w14:textId="77777777" w:rsidR="00E32459" w:rsidRPr="00AF61AF" w:rsidRDefault="00E32459" w:rsidP="00BA2AAC">
            <w:r w:rsidRPr="00692ABE">
              <w:t>Proprietary</w:t>
            </w:r>
          </w:p>
        </w:tc>
        <w:tc>
          <w:tcPr>
            <w:tcW w:w="2846" w:type="dxa"/>
          </w:tcPr>
          <w:p w14:paraId="49B8C839" w14:textId="77777777" w:rsidR="00E32459" w:rsidRPr="00AF61AF" w:rsidRDefault="00E32459" w:rsidP="00BA2AAC">
            <w:r>
              <w:t>Employers provide feedback on the completer’s preparation in the spring of the first year of teaching</w:t>
            </w:r>
          </w:p>
        </w:tc>
        <w:tc>
          <w:tcPr>
            <w:tcW w:w="3420" w:type="dxa"/>
          </w:tcPr>
          <w:p w14:paraId="50E6037B" w14:textId="77777777" w:rsidR="00E32459" w:rsidRPr="003D1A4B" w:rsidRDefault="00E32459" w:rsidP="00BA2AAC">
            <w:pPr>
              <w:rPr>
                <w:sz w:val="20"/>
                <w:szCs w:val="20"/>
              </w:rPr>
            </w:pPr>
            <w:hyperlink r:id="rId11" w:history="1">
              <w:r w:rsidRPr="003D1A4B">
                <w:rPr>
                  <w:rStyle w:val="Hyperlink"/>
                  <w:sz w:val="20"/>
                </w:rPr>
                <w:t>Employer Survey Validity and Reliability</w:t>
              </w:r>
            </w:hyperlink>
          </w:p>
        </w:tc>
        <w:tc>
          <w:tcPr>
            <w:tcW w:w="4927" w:type="dxa"/>
          </w:tcPr>
          <w:p w14:paraId="2320582F" w14:textId="77777777" w:rsidR="00E32459" w:rsidRPr="00AF61AF" w:rsidRDefault="00E32459" w:rsidP="00BA2AAC">
            <w:r>
              <w:t>The EPP participated in NExT and NDACTE Common Metrics efforts</w:t>
            </w:r>
          </w:p>
        </w:tc>
      </w:tr>
    </w:tbl>
    <w:p w14:paraId="7CCAF1CC" w14:textId="77777777" w:rsidR="00E32459" w:rsidRDefault="00E32459" w:rsidP="00E32459">
      <w:pPr>
        <w:rPr>
          <w:sz w:val="22"/>
          <w:szCs w:val="22"/>
        </w:rPr>
      </w:pPr>
    </w:p>
    <w:p w14:paraId="10AB1559" w14:textId="77777777" w:rsidR="00E32459" w:rsidRDefault="00E32459" w:rsidP="00E32459">
      <w:pPr>
        <w:rPr>
          <w:sz w:val="22"/>
          <w:szCs w:val="22"/>
        </w:rPr>
      </w:pPr>
      <w:hyperlink r:id="rId12" w:history="1">
        <w:r w:rsidRPr="001D6581">
          <w:rPr>
            <w:rStyle w:val="Hyperlink"/>
            <w:sz w:val="22"/>
            <w:szCs w:val="22"/>
          </w:rPr>
          <w:t>Link to Analysis of Assessments</w:t>
        </w:r>
      </w:hyperlink>
    </w:p>
    <w:p w14:paraId="1EBB0C25" w14:textId="77777777" w:rsidR="00B27CEF" w:rsidRDefault="00E32459"/>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59"/>
    <w:rsid w:val="00C71F38"/>
    <w:rsid w:val="00DA7689"/>
    <w:rsid w:val="00E3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21D4C"/>
  <w15:chartTrackingRefBased/>
  <w15:docId w15:val="{8E3818B6-7953-9047-A6A6-4FE51C11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59"/>
    <w:rPr>
      <w:rFonts w:ascii="Times New Roman" w:eastAsia="Times New Roman" w:hAnsi="Times New Roman" w:cs="Times New Roman"/>
    </w:rPr>
  </w:style>
  <w:style w:type="paragraph" w:styleId="Heading1">
    <w:name w:val="heading 1"/>
    <w:basedOn w:val="Normal"/>
    <w:next w:val="Normal"/>
    <w:link w:val="Heading1Char"/>
    <w:uiPriority w:val="9"/>
    <w:qFormat/>
    <w:rsid w:val="00E324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45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32459"/>
    <w:rPr>
      <w:color w:val="0563C1" w:themeColor="hyperlink"/>
      <w:u w:val="single"/>
    </w:rPr>
  </w:style>
  <w:style w:type="table" w:styleId="TableGrid">
    <w:name w:val="Table Grid"/>
    <w:basedOn w:val="TableNormal"/>
    <w:uiPriority w:val="39"/>
    <w:rsid w:val="00E324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Lawshe%20Validity%20and%20Cronbach%20Reliability%20for%20Disposition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csuintasc.myefolio.com/Intasc2021/Uploads/TLC%20Validity%20and%20Reliability%20Efforts.pdf" TargetMode="External"/><Relationship Id="rId12" Type="http://schemas.openxmlformats.org/officeDocument/2006/relationships/hyperlink" Target="https://vcsuintasc.myefolio.com/Intasc2021/instr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csuintasc.myefolio.com/Intasc2021/Uploads/TLC_Lawshe_with%20Data%20copy.pdf" TargetMode="External"/><Relationship Id="rId11" Type="http://schemas.openxmlformats.org/officeDocument/2006/relationships/hyperlink" Target="https://static1.squarespace.com/static/576c2250579fb30cbde835ea/t/5d77db0bfbd35b348d3f092d/1568135948516/Supervisor+Survey+2017+Validity+and+Reliability.pdf" TargetMode="External"/><Relationship Id="rId5" Type="http://schemas.openxmlformats.org/officeDocument/2006/relationships/hyperlink" Target="https://www.ndacte.org/stot-presentation-caep-march-2017/" TargetMode="External"/><Relationship Id="rId10" Type="http://schemas.openxmlformats.org/officeDocument/2006/relationships/hyperlink" Target="https://static1.squarespace.com/static/576c2250579fb30cbde835ea/t/5d77db619b78a06e2a1b2f93/1568136033822/Transition+to+Teaching+Survey+2017+Validity+and+Reliability.pdf" TargetMode="External"/><Relationship Id="rId4" Type="http://schemas.openxmlformats.org/officeDocument/2006/relationships/hyperlink" Target="https://ndacte.org/wp-content/uploads/2019/12/STOT-Validity-Summary-June-2017-1.pdf" TargetMode="External"/><Relationship Id="rId9" Type="http://schemas.openxmlformats.org/officeDocument/2006/relationships/hyperlink" Target="https://static1.squarespace.com/static/576c2250579fb30cbde835ea/t/5d77db3c03ba3060e604d6bb/1568135996544/Exit+Survey+2017+validity+and+reliabili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2020-12-09T22:27:00Z</dcterms:created>
  <dcterms:modified xsi:type="dcterms:W3CDTF">2020-12-09T22:27:00Z</dcterms:modified>
</cp:coreProperties>
</file>