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4388F" w14:textId="7EF5D1B7" w:rsidR="00B27CEF" w:rsidRPr="00E21138" w:rsidRDefault="00D0125A" w:rsidP="009F6C17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Data Gathered from Completers</w:t>
      </w:r>
    </w:p>
    <w:p w14:paraId="460D5D86" w14:textId="09C9C84E" w:rsidR="005F48AF" w:rsidRPr="009F6C17" w:rsidRDefault="005F48AF">
      <w:pPr>
        <w:rPr>
          <w:rFonts w:ascii="Times New Roman" w:hAnsi="Times New Roman" w:cs="Times New Roman"/>
          <w:sz w:val="22"/>
          <w:szCs w:val="22"/>
        </w:rPr>
      </w:pPr>
    </w:p>
    <w:p w14:paraId="2B1F08E8" w14:textId="65C78305" w:rsidR="00D0125A" w:rsidRPr="00D0125A" w:rsidRDefault="00D0125A" w:rsidP="00D0125A">
      <w:pPr>
        <w:rPr>
          <w:rFonts w:ascii="Times New Roman" w:eastAsia="Times New Roman" w:hAnsi="Times New Roman" w:cs="Times New Roman"/>
          <w:sz w:val="22"/>
          <w:szCs w:val="22"/>
        </w:rPr>
      </w:pPr>
      <w:r w:rsidRPr="00D0125A">
        <w:rPr>
          <w:rFonts w:ascii="Times New Roman" w:eastAsia="Times New Roman" w:hAnsi="Times New Roman" w:cs="Times New Roman"/>
          <w:sz w:val="22"/>
          <w:szCs w:val="22"/>
        </w:rPr>
        <w:t>The first-year teacher survey results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are</w:t>
      </w:r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4" w:history="1">
        <w:r w:rsidRPr="00D0125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related to content knowledge a</w:t>
        </w:r>
        <w:r w:rsidRPr="00FD33B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nd</w:t>
        </w:r>
        <w:r w:rsidRPr="00D0125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 disaggregated</w:t>
        </w:r>
      </w:hyperlink>
      <w:r w:rsidRPr="00D0125A">
        <w:rPr>
          <w:rFonts w:ascii="Times New Roman" w:eastAsia="Times New Roman" w:hAnsi="Times New Roman" w:cs="Times New Roman"/>
          <w:sz w:val="22"/>
          <w:szCs w:val="22"/>
        </w:rPr>
        <w:t xml:space="preserve"> by teacher education program areas. </w:t>
      </w:r>
    </w:p>
    <w:p w14:paraId="129BFEFC" w14:textId="5F19F159" w:rsidR="005F48AF" w:rsidRPr="009F6C17" w:rsidRDefault="005F48AF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BD34914" w14:textId="3E5A50F3" w:rsidR="00744923" w:rsidRDefault="003D59AE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Completer Data </w:t>
      </w:r>
      <w:r w:rsidR="00565A7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shared for one </w:t>
      </w:r>
      <w:r w:rsidR="00565A7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 single year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like this </w:t>
      </w:r>
      <w:hyperlink r:id="rId5" w:history="1">
        <w:r w:rsidRPr="003D59AE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example gathered in the Spring of 2020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from the 2018-2019 completers. T</w:t>
      </w:r>
      <w:r w:rsidR="00FD33B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he </w:t>
      </w:r>
      <w:r w:rsidR="00565A7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Completer D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ata are also shared in Annual Unit Data Reports each August with </w:t>
      </w:r>
      <w:r w:rsidR="00565A7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opportunity for stakeholders to view a more historic look at the </w:t>
      </w:r>
      <w:hyperlink r:id="rId6" w:history="1">
        <w:r w:rsidR="00565A77" w:rsidRPr="00565A77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data over time</w:t>
        </w:r>
      </w:hyperlink>
      <w:r w:rsidR="00565A7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2D38EE35" w14:textId="7C173C5E" w:rsidR="00FD33BD" w:rsidRDefault="00FD33BD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273EF8A" w14:textId="40416F6D" w:rsidR="00FD33BD" w:rsidRDefault="00FD33BD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Completer Survey </w:t>
      </w:r>
      <w:hyperlink r:id="rId7" w:history="1">
        <w:r w:rsidRPr="00FD33BD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</w:rPr>
          <w:t>Validity and Reliability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551AF761" w14:textId="06911B29" w:rsidR="005F48AF" w:rsidRPr="009F6C17" w:rsidRDefault="005F48AF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07CB9BFC" w14:textId="763B0FAC" w:rsidR="005F48AF" w:rsidRPr="009F6C17" w:rsidRDefault="005F48AF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EPP’s assessment coordinator was </w:t>
      </w:r>
      <w:r w:rsidR="009F6C17"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 member of the </w:t>
      </w:r>
      <w:r w:rsidR="00D0125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Bush Grant funded Network for Excellence in Teaching (NExT)</w:t>
      </w:r>
      <w:r w:rsidR="009F6C17"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0125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Common Metrics </w:t>
      </w:r>
      <w:r w:rsidR="009F6C17" w:rsidRPr="009F6C1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workgroups </w:t>
      </w:r>
      <w:r w:rsidR="00D0125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that developed the Exit Survey, Completer Survey, and Employer Survey that are identified as important assessment instruments for the EPP. </w:t>
      </w:r>
    </w:p>
    <w:p w14:paraId="05FE68B8" w14:textId="0C040F26" w:rsidR="009F7988" w:rsidRDefault="009F7988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2C5D00B" w14:textId="7DFBB2BE" w:rsidR="009F7988" w:rsidRPr="009F6C17" w:rsidRDefault="009F7988" w:rsidP="005F48AF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The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NExT Common Metrics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representatives worked to ensure </w:t>
      </w:r>
      <w:r w:rsidR="00E211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that the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assessment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instrument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satisfies</w:t>
      </w:r>
      <w:r w:rsidR="00E211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CAEP sufficient level </w:t>
      </w:r>
      <w:r w:rsidR="007449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expectations or higher. </w:t>
      </w:r>
    </w:p>
    <w:p w14:paraId="27FF2717" w14:textId="77777777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518D36AF" w14:textId="77777777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4ADF681A" w14:textId="77A99631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3FF3D375" w14:textId="77777777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652B7516" w14:textId="4F37C03B" w:rsidR="005F48AF" w:rsidRDefault="005F48AF" w:rsidP="005F48AF">
      <w:pPr>
        <w:rPr>
          <w:rFonts w:ascii="Franklin Gothic Medium" w:eastAsia="Times New Roman" w:hAnsi="Franklin Gothic Medium" w:cs="Times New Roman"/>
          <w:color w:val="000000"/>
          <w:sz w:val="21"/>
          <w:szCs w:val="21"/>
          <w:shd w:val="clear" w:color="auto" w:fill="FFFFFF"/>
        </w:rPr>
      </w:pPr>
    </w:p>
    <w:p w14:paraId="28D67F36" w14:textId="77777777" w:rsidR="005F48AF" w:rsidRPr="005F48AF" w:rsidRDefault="005F48AF" w:rsidP="005F48AF">
      <w:pPr>
        <w:rPr>
          <w:rFonts w:ascii="Times New Roman" w:eastAsia="Times New Roman" w:hAnsi="Times New Roman" w:cs="Times New Roman"/>
        </w:rPr>
      </w:pPr>
    </w:p>
    <w:p w14:paraId="1D161E06" w14:textId="77777777" w:rsidR="005F48AF" w:rsidRDefault="005F48AF"/>
    <w:sectPr w:rsidR="005F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AF"/>
    <w:rsid w:val="003D59AE"/>
    <w:rsid w:val="00565A77"/>
    <w:rsid w:val="005F48AF"/>
    <w:rsid w:val="00744923"/>
    <w:rsid w:val="009F6C17"/>
    <w:rsid w:val="009F7988"/>
    <w:rsid w:val="00C71F38"/>
    <w:rsid w:val="00D0125A"/>
    <w:rsid w:val="00DA7689"/>
    <w:rsid w:val="00E21138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6EC91"/>
  <w15:chartTrackingRefBased/>
  <w15:docId w15:val="{D32F2C9D-B4E0-054F-95D1-3EAF4A64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2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5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3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tic1.squarespace.com/static/576c2250579fb30cbde835ea/t/5d77db619b78a06e2a1b2f93/1568136033822/Transition+to+Teaching+Survey+2017+Validity+and+Reliabilit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suintasc.myefolio.com/Intasc2021/Uploads/Completer%20Survey%20Data%20Over%20Time%202012_2020.pdf" TargetMode="External"/><Relationship Id="rId5" Type="http://schemas.openxmlformats.org/officeDocument/2006/relationships/hyperlink" Target="https://vcsuintasc.myefolio.com/Intasc2021/Uploads/Completer%20Survey%20Data%20in%202020.pdf" TargetMode="External"/><Relationship Id="rId4" Type="http://schemas.openxmlformats.org/officeDocument/2006/relationships/hyperlink" Target="https://vcsuintasc.myefolio.com/Intasc2021/Uploads/2020%20State%20Report%20Completer%20Data%20related%20to%20Content%20Knowledg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Alan</dc:creator>
  <cp:keywords/>
  <dc:description/>
  <cp:lastModifiedBy>Olson, Alan</cp:lastModifiedBy>
  <cp:revision>3</cp:revision>
  <cp:lastPrinted>2020-10-28T02:47:00Z</cp:lastPrinted>
  <dcterms:created xsi:type="dcterms:W3CDTF">2020-10-28T03:22:00Z</dcterms:created>
  <dcterms:modified xsi:type="dcterms:W3CDTF">2020-11-10T19:23:00Z</dcterms:modified>
</cp:coreProperties>
</file>