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961"/>
        <w:gridCol w:w="1713"/>
        <w:gridCol w:w="3676"/>
      </w:tblGrid>
      <w:tr w:rsidR="001A2A00" w:rsidRPr="00AE43EE" w14:paraId="63348EF7" w14:textId="77777777" w:rsidTr="00BA2AAC">
        <w:tc>
          <w:tcPr>
            <w:tcW w:w="2118" w:type="pct"/>
          </w:tcPr>
          <w:p w14:paraId="0863C637" w14:textId="77777777" w:rsidR="001A2A00" w:rsidRPr="00AE43EE" w:rsidRDefault="001A2A00"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4</w:t>
            </w:r>
          </w:p>
        </w:tc>
        <w:tc>
          <w:tcPr>
            <w:tcW w:w="916" w:type="pct"/>
          </w:tcPr>
          <w:p w14:paraId="76B7EA9E" w14:textId="77777777" w:rsidR="001A2A00" w:rsidRDefault="001A2A00" w:rsidP="00BA2AAC">
            <w:pPr>
              <w:jc w:val="center"/>
              <w:rPr>
                <w:color w:val="000000" w:themeColor="text1"/>
              </w:rPr>
            </w:pPr>
            <w:r w:rsidRPr="00AE43EE">
              <w:rPr>
                <w:color w:val="000000" w:themeColor="text1"/>
              </w:rPr>
              <w:t xml:space="preserve">Course Prefix and Title </w:t>
            </w:r>
          </w:p>
          <w:p w14:paraId="08B0A9E9" w14:textId="77777777" w:rsidR="001A2A00" w:rsidRPr="00AE43EE" w:rsidRDefault="001A2A00" w:rsidP="00BA2AAC">
            <w:pPr>
              <w:jc w:val="center"/>
              <w:rPr>
                <w:color w:val="000000" w:themeColor="text1"/>
              </w:rPr>
            </w:pPr>
          </w:p>
        </w:tc>
        <w:tc>
          <w:tcPr>
            <w:tcW w:w="1966" w:type="pct"/>
          </w:tcPr>
          <w:p w14:paraId="7C730284" w14:textId="77777777" w:rsidR="001A2A00" w:rsidRPr="00AE43EE" w:rsidRDefault="001A2A00"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1A2A00" w:rsidRPr="00AE43EE" w14:paraId="03616CFD" w14:textId="77777777" w:rsidTr="00BA2AAC">
        <w:tc>
          <w:tcPr>
            <w:tcW w:w="2118" w:type="pct"/>
          </w:tcPr>
          <w:p w14:paraId="725D943C" w14:textId="77777777" w:rsidR="001A2A00" w:rsidRPr="00AE43EE" w:rsidRDefault="001A2A00" w:rsidP="00BA2AAC">
            <w:pPr>
              <w:rPr>
                <w:color w:val="000000" w:themeColor="text1"/>
              </w:rPr>
            </w:pPr>
            <w:r w:rsidRPr="00AE43EE">
              <w:rPr>
                <w:color w:val="000000" w:themeColor="text1"/>
              </w:rPr>
              <w:t xml:space="preserve">Standard #4 Content Knowledge: The program requires understanding the central concepts, tools of inquiry, and structures of the discipline(s) he or she teaches and creates learning experiences that make these aspects of the discipline accessible and meaningful for learners to assure mastery of the content. </w:t>
            </w:r>
          </w:p>
        </w:tc>
        <w:tc>
          <w:tcPr>
            <w:tcW w:w="2882" w:type="pct"/>
            <w:gridSpan w:val="2"/>
          </w:tcPr>
          <w:p w14:paraId="0B0CC154" w14:textId="77777777" w:rsidR="001A2A00" w:rsidRPr="00AE43EE" w:rsidRDefault="001A2A00" w:rsidP="00BA2AAC">
            <w:pPr>
              <w:rPr>
                <w:color w:val="000000" w:themeColor="text1"/>
              </w:rPr>
            </w:pPr>
            <w:r w:rsidRPr="00AE43EE">
              <w:rPr>
                <w:color w:val="000000" w:themeColor="text1"/>
              </w:rPr>
              <w:t>THIS STANDARD IS ASSESSED IN SEPARATE CONTENT AREA REVIEWER REPORTS AND A FINAL DETERMINATION MADE BY THE CONTENT EXPERT.</w:t>
            </w:r>
          </w:p>
        </w:tc>
      </w:tr>
    </w:tbl>
    <w:p w14:paraId="4B9EE599" w14:textId="77777777" w:rsidR="001A2A00" w:rsidRPr="00AE43EE" w:rsidRDefault="001A2A00" w:rsidP="001A2A00">
      <w:pPr>
        <w:rPr>
          <w:color w:val="000000" w:themeColor="text1"/>
          <w:sz w:val="22"/>
          <w:szCs w:val="22"/>
        </w:rPr>
      </w:pPr>
    </w:p>
    <w:p w14:paraId="29DB078F" w14:textId="77777777" w:rsidR="001A2A00" w:rsidRPr="00AE43EE" w:rsidRDefault="001A2A00" w:rsidP="001A2A00">
      <w:pPr>
        <w:rPr>
          <w:color w:val="000000" w:themeColor="text1"/>
          <w:sz w:val="22"/>
          <w:szCs w:val="22"/>
        </w:rPr>
      </w:pPr>
      <w:r w:rsidRPr="00AE43EE">
        <w:rPr>
          <w:color w:val="000000" w:themeColor="text1"/>
          <w:sz w:val="22"/>
          <w:szCs w:val="22"/>
        </w:rPr>
        <w:t xml:space="preserve">The state report process references that Standard 4 is addressed by content experts with each content report. </w:t>
      </w:r>
      <w:r>
        <w:rPr>
          <w:color w:val="000000" w:themeColor="text1"/>
          <w:sz w:val="22"/>
          <w:szCs w:val="22"/>
        </w:rPr>
        <w:t xml:space="preserve">Even though additional data aren’t required for this standard, the EPP </w:t>
      </w:r>
      <w:r w:rsidRPr="00AE43EE">
        <w:rPr>
          <w:color w:val="000000" w:themeColor="text1"/>
          <w:sz w:val="22"/>
          <w:szCs w:val="22"/>
        </w:rPr>
        <w:t xml:space="preserve">would like to share evidence related to content knowledge readiness from the perspective of cooperating teachers, student teachers, </w:t>
      </w:r>
      <w:r>
        <w:rPr>
          <w:color w:val="000000" w:themeColor="text1"/>
          <w:sz w:val="22"/>
          <w:szCs w:val="22"/>
        </w:rPr>
        <w:t xml:space="preserve">completers in their </w:t>
      </w:r>
      <w:r w:rsidRPr="00AE43EE">
        <w:rPr>
          <w:color w:val="000000" w:themeColor="text1"/>
          <w:sz w:val="22"/>
          <w:szCs w:val="22"/>
        </w:rPr>
        <w:t>first</w:t>
      </w:r>
      <w:r>
        <w:rPr>
          <w:color w:val="000000" w:themeColor="text1"/>
          <w:sz w:val="22"/>
          <w:szCs w:val="22"/>
        </w:rPr>
        <w:t xml:space="preserve"> </w:t>
      </w:r>
      <w:r w:rsidRPr="00AE43EE">
        <w:rPr>
          <w:color w:val="000000" w:themeColor="text1"/>
          <w:sz w:val="22"/>
          <w:szCs w:val="22"/>
        </w:rPr>
        <w:t xml:space="preserve">year </w:t>
      </w:r>
      <w:r>
        <w:rPr>
          <w:color w:val="000000" w:themeColor="text1"/>
          <w:sz w:val="22"/>
          <w:szCs w:val="22"/>
        </w:rPr>
        <w:t xml:space="preserve">of </w:t>
      </w:r>
      <w:r w:rsidRPr="00AE43EE">
        <w:rPr>
          <w:color w:val="000000" w:themeColor="text1"/>
          <w:sz w:val="22"/>
          <w:szCs w:val="22"/>
        </w:rPr>
        <w:t>teach</w:t>
      </w:r>
      <w:r>
        <w:rPr>
          <w:color w:val="000000" w:themeColor="text1"/>
          <w:sz w:val="22"/>
          <w:szCs w:val="22"/>
        </w:rPr>
        <w:t>ing</w:t>
      </w:r>
      <w:r w:rsidRPr="00AE43EE">
        <w:rPr>
          <w:color w:val="000000" w:themeColor="text1"/>
          <w:sz w:val="22"/>
          <w:szCs w:val="22"/>
        </w:rPr>
        <w:t xml:space="preserve">, and employers of </w:t>
      </w:r>
      <w:r>
        <w:rPr>
          <w:color w:val="000000" w:themeColor="text1"/>
          <w:sz w:val="22"/>
          <w:szCs w:val="22"/>
        </w:rPr>
        <w:t>the EPP’s</w:t>
      </w:r>
      <w:r w:rsidRPr="00AE43EE">
        <w:rPr>
          <w:color w:val="000000" w:themeColor="text1"/>
          <w:sz w:val="22"/>
          <w:szCs w:val="22"/>
        </w:rPr>
        <w:t xml:space="preserve"> first-year teachers</w:t>
      </w:r>
      <w:r>
        <w:rPr>
          <w:color w:val="000000" w:themeColor="text1"/>
          <w:sz w:val="22"/>
          <w:szCs w:val="22"/>
        </w:rPr>
        <w:t xml:space="preserve"> (</w:t>
      </w:r>
      <w:hyperlink r:id="rId4" w:history="1">
        <w:r w:rsidRPr="00972E95">
          <w:rPr>
            <w:rStyle w:val="Hyperlink"/>
            <w:sz w:val="22"/>
            <w:szCs w:val="22"/>
          </w:rPr>
          <w:t>InTASC Standard 4 Evidence 4.1</w:t>
        </w:r>
      </w:hyperlink>
      <w:r>
        <w:rPr>
          <w:color w:val="000000" w:themeColor="text1"/>
          <w:sz w:val="22"/>
          <w:szCs w:val="22"/>
        </w:rPr>
        <w:t>).</w:t>
      </w:r>
    </w:p>
    <w:p w14:paraId="52BDBEC8" w14:textId="77777777" w:rsidR="001A2A00" w:rsidRDefault="001A2A00" w:rsidP="001A2A00">
      <w:pPr>
        <w:rPr>
          <w:color w:val="000000" w:themeColor="text1"/>
          <w:sz w:val="22"/>
          <w:szCs w:val="22"/>
        </w:rPr>
      </w:pPr>
    </w:p>
    <w:p w14:paraId="544CE395" w14:textId="77777777" w:rsidR="001A2A00" w:rsidRPr="0056612D" w:rsidRDefault="001A2A00" w:rsidP="001A2A00">
      <w:pPr>
        <w:jc w:val="center"/>
        <w:rPr>
          <w:b/>
          <w:bCs/>
          <w:sz w:val="22"/>
          <w:szCs w:val="22"/>
        </w:rPr>
      </w:pPr>
      <w:r w:rsidRPr="0056612D">
        <w:rPr>
          <w:b/>
          <w:bCs/>
          <w:sz w:val="22"/>
          <w:szCs w:val="22"/>
        </w:rPr>
        <w:t>Effectively Teaches Subject Matter (InTASC 4)</w:t>
      </w:r>
    </w:p>
    <w:p w14:paraId="24C3BEAC" w14:textId="77777777" w:rsidR="001A2A00" w:rsidRPr="0056612D" w:rsidRDefault="001A2A00" w:rsidP="001A2A00">
      <w:pPr>
        <w:rPr>
          <w:sz w:val="22"/>
          <w:szCs w:val="22"/>
        </w:rPr>
      </w:pPr>
      <w:r>
        <w:rPr>
          <w:sz w:val="22"/>
          <w:szCs w:val="22"/>
        </w:rPr>
        <w:t>The EPP</w:t>
      </w:r>
      <w:r w:rsidRPr="0056612D">
        <w:rPr>
          <w:sz w:val="22"/>
          <w:szCs w:val="22"/>
        </w:rPr>
        <w:t xml:space="preserve"> studies data for program improvement of teacher preparation from the perspective of cooperating teachers, teacher candidates, completers, and employers. In addition to the VCSU data</w:t>
      </w:r>
      <w:r>
        <w:rPr>
          <w:sz w:val="22"/>
          <w:szCs w:val="22"/>
        </w:rPr>
        <w:t xml:space="preserve"> below</w:t>
      </w:r>
      <w:r w:rsidRPr="0056612D">
        <w:rPr>
          <w:sz w:val="22"/>
          <w:szCs w:val="22"/>
        </w:rPr>
        <w:t xml:space="preserve">, </w:t>
      </w:r>
      <w:hyperlink r:id="rId5" w:history="1">
        <w:r w:rsidRPr="009771E3">
          <w:rPr>
            <w:rStyle w:val="Hyperlink"/>
            <w:sz w:val="22"/>
            <w:szCs w:val="22"/>
          </w:rPr>
          <w:t>the link shares EPP comparisons with aggregate data</w:t>
        </w:r>
      </w:hyperlink>
      <w:r w:rsidRPr="0056612D">
        <w:rPr>
          <w:sz w:val="22"/>
          <w:szCs w:val="22"/>
        </w:rPr>
        <w:t xml:space="preserve"> from seven other North Dakota Education Preparation Providers and a larger scope of Education Preparation Providers</w:t>
      </w:r>
      <w:r>
        <w:rPr>
          <w:sz w:val="22"/>
          <w:szCs w:val="22"/>
        </w:rPr>
        <w:t xml:space="preserve"> that utilize the same Common Metrics assessments.</w:t>
      </w:r>
    </w:p>
    <w:p w14:paraId="04768369" w14:textId="77777777" w:rsidR="001A2A00" w:rsidRPr="0056612D" w:rsidRDefault="001A2A00" w:rsidP="001A2A00">
      <w:pPr>
        <w:rPr>
          <w:sz w:val="22"/>
          <w:szCs w:val="22"/>
        </w:rPr>
      </w:pPr>
    </w:p>
    <w:p w14:paraId="519C0C17" w14:textId="77777777" w:rsidR="001A2A00" w:rsidRPr="0056612D" w:rsidRDefault="001A2A00" w:rsidP="001A2A00">
      <w:pPr>
        <w:rPr>
          <w:sz w:val="22"/>
          <w:szCs w:val="22"/>
        </w:rPr>
      </w:pPr>
      <w:r w:rsidRPr="0056612D">
        <w:rPr>
          <w:b/>
          <w:bCs/>
          <w:sz w:val="22"/>
          <w:szCs w:val="22"/>
        </w:rPr>
        <w:t>Standard #4: Content Knowledge</w:t>
      </w:r>
      <w:r w:rsidRPr="0056612D">
        <w:rPr>
          <w:sz w:val="22"/>
          <w:szCs w:val="22"/>
        </w:rPr>
        <w:t>. 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6A88A9FE" w14:textId="77777777" w:rsidR="001A2A00" w:rsidRPr="0056612D" w:rsidRDefault="001A2A00" w:rsidP="001A2A00">
      <w:pPr>
        <w:rPr>
          <w:sz w:val="22"/>
          <w:szCs w:val="22"/>
        </w:rPr>
      </w:pPr>
    </w:p>
    <w:tbl>
      <w:tblPr>
        <w:tblStyle w:val="TableGrid"/>
        <w:tblW w:w="5000" w:type="pct"/>
        <w:tblLook w:val="04A0" w:firstRow="1" w:lastRow="0" w:firstColumn="1" w:lastColumn="0" w:noHBand="0" w:noVBand="1"/>
      </w:tblPr>
      <w:tblGrid>
        <w:gridCol w:w="8348"/>
        <w:gridCol w:w="1002"/>
      </w:tblGrid>
      <w:tr w:rsidR="001A2A00" w:rsidRPr="0056612D" w14:paraId="26F6A920" w14:textId="77777777" w:rsidTr="00BA2AAC">
        <w:tc>
          <w:tcPr>
            <w:tcW w:w="4464" w:type="pct"/>
            <w:shd w:val="clear" w:color="auto" w:fill="FBE4D5" w:themeFill="accent2" w:themeFillTint="33"/>
          </w:tcPr>
          <w:p w14:paraId="17EE54BC" w14:textId="77777777" w:rsidR="001A2A00" w:rsidRPr="00C10278" w:rsidRDefault="001A2A00" w:rsidP="00BA2AAC">
            <w:pPr>
              <w:rPr>
                <w:b/>
                <w:bCs/>
              </w:rPr>
            </w:pPr>
            <w:r w:rsidRPr="0056612D">
              <w:rPr>
                <w:b/>
                <w:bCs/>
              </w:rPr>
              <w:t>Student Teaching</w:t>
            </w:r>
            <w:r>
              <w:rPr>
                <w:b/>
                <w:bCs/>
              </w:rPr>
              <w:t xml:space="preserve">   </w:t>
            </w:r>
            <w:r w:rsidRPr="0056612D">
              <w:t>Cooperating Teacher Ratings of Teacher Candidates Fall 2017-Spring 2020</w:t>
            </w:r>
          </w:p>
          <w:p w14:paraId="2D357382" w14:textId="77777777" w:rsidR="001A2A00" w:rsidRPr="0056612D" w:rsidRDefault="001A2A00" w:rsidP="00BA2AAC">
            <w:pPr>
              <w:rPr>
                <w:i/>
                <w:iCs/>
                <w:sz w:val="20"/>
                <w:szCs w:val="20"/>
              </w:rPr>
            </w:pPr>
            <w:r w:rsidRPr="0056612D">
              <w:rPr>
                <w:i/>
                <w:iCs/>
                <w:sz w:val="20"/>
                <w:szCs w:val="20"/>
              </w:rPr>
              <w:t>4-Distinguished; 3-Proficient; 2-Emerging; 1-Underdeveloped (3.5, 2.5, and 1.5 ratings are permitted)</w:t>
            </w:r>
          </w:p>
        </w:tc>
        <w:tc>
          <w:tcPr>
            <w:tcW w:w="536" w:type="pct"/>
            <w:shd w:val="clear" w:color="auto" w:fill="FBE4D5" w:themeFill="accent2" w:themeFillTint="33"/>
          </w:tcPr>
          <w:p w14:paraId="769D1971" w14:textId="77777777" w:rsidR="001A2A00" w:rsidRPr="0056612D" w:rsidRDefault="001A2A00" w:rsidP="00BA2AAC">
            <w:pPr>
              <w:jc w:val="center"/>
            </w:pPr>
          </w:p>
          <w:p w14:paraId="03E5EE61" w14:textId="77777777" w:rsidR="001A2A00" w:rsidRPr="0056612D" w:rsidRDefault="001A2A00" w:rsidP="00BA2AAC">
            <w:pPr>
              <w:jc w:val="center"/>
            </w:pPr>
            <w:r w:rsidRPr="0056612D">
              <w:t>Mean Score</w:t>
            </w:r>
          </w:p>
        </w:tc>
      </w:tr>
      <w:tr w:rsidR="001A2A00" w:rsidRPr="0056612D" w14:paraId="0F4A9739" w14:textId="77777777" w:rsidTr="00BA2AAC">
        <w:tc>
          <w:tcPr>
            <w:tcW w:w="4464" w:type="pct"/>
          </w:tcPr>
          <w:p w14:paraId="5FC2F8B4" w14:textId="77777777" w:rsidR="001A2A00" w:rsidRPr="0056612D" w:rsidRDefault="001A2A00" w:rsidP="00BA2AAC">
            <w:pPr>
              <w:rPr>
                <w:b/>
                <w:bCs/>
              </w:rPr>
            </w:pPr>
            <w:r w:rsidRPr="0056612D">
              <w:rPr>
                <w:b/>
                <w:bCs/>
              </w:rPr>
              <w:t>Effectively teaches subject matter (InTASC 4) N=495</w:t>
            </w:r>
          </w:p>
        </w:tc>
        <w:tc>
          <w:tcPr>
            <w:tcW w:w="536" w:type="pct"/>
          </w:tcPr>
          <w:p w14:paraId="55CC078D" w14:textId="77777777" w:rsidR="001A2A00" w:rsidRPr="0056612D" w:rsidRDefault="001A2A00" w:rsidP="00BA2AAC">
            <w:pPr>
              <w:jc w:val="center"/>
              <w:rPr>
                <w:b/>
                <w:bCs/>
              </w:rPr>
            </w:pPr>
            <w:r w:rsidRPr="0056612D">
              <w:rPr>
                <w:b/>
                <w:bCs/>
              </w:rPr>
              <w:t>3.39</w:t>
            </w:r>
          </w:p>
        </w:tc>
      </w:tr>
    </w:tbl>
    <w:p w14:paraId="3B9827DF" w14:textId="77777777" w:rsidR="001A2A00" w:rsidRPr="00C10278" w:rsidRDefault="001A2A00" w:rsidP="001A2A00">
      <w:pPr>
        <w:rPr>
          <w:sz w:val="10"/>
          <w:szCs w:val="10"/>
        </w:rPr>
      </w:pPr>
    </w:p>
    <w:tbl>
      <w:tblPr>
        <w:tblStyle w:val="TableGrid"/>
        <w:tblW w:w="5000" w:type="pct"/>
        <w:tblLook w:val="04A0" w:firstRow="1" w:lastRow="0" w:firstColumn="1" w:lastColumn="0" w:noHBand="0" w:noVBand="1"/>
      </w:tblPr>
      <w:tblGrid>
        <w:gridCol w:w="8348"/>
        <w:gridCol w:w="1002"/>
      </w:tblGrid>
      <w:tr w:rsidR="001A2A00" w:rsidRPr="0056612D" w14:paraId="36E7032E" w14:textId="77777777" w:rsidTr="00BA2AAC">
        <w:tc>
          <w:tcPr>
            <w:tcW w:w="4464" w:type="pct"/>
            <w:shd w:val="clear" w:color="auto" w:fill="FFF2CC" w:themeFill="accent4" w:themeFillTint="33"/>
          </w:tcPr>
          <w:p w14:paraId="573E5866" w14:textId="77777777" w:rsidR="001A2A00" w:rsidRPr="00C10278" w:rsidRDefault="001A2A00" w:rsidP="00BA2AAC">
            <w:pPr>
              <w:rPr>
                <w:b/>
                <w:bCs/>
              </w:rPr>
            </w:pPr>
            <w:r w:rsidRPr="0056612D">
              <w:rPr>
                <w:b/>
                <w:bCs/>
              </w:rPr>
              <w:t>Student Teaching</w:t>
            </w:r>
            <w:r>
              <w:rPr>
                <w:b/>
                <w:bCs/>
              </w:rPr>
              <w:t xml:space="preserve">. </w:t>
            </w:r>
            <w:r w:rsidRPr="0056612D">
              <w:t xml:space="preserve">Teacher Candidate Self-Assessment Ratings Fall 2018-Spring 2020 </w:t>
            </w:r>
          </w:p>
          <w:p w14:paraId="0DD21859" w14:textId="77777777" w:rsidR="001A2A00" w:rsidRPr="0056612D" w:rsidRDefault="001A2A00" w:rsidP="00BA2AAC">
            <w:pPr>
              <w:rPr>
                <w:i/>
                <w:iCs/>
                <w:sz w:val="20"/>
                <w:szCs w:val="20"/>
              </w:rPr>
            </w:pPr>
            <w:r w:rsidRPr="0056612D">
              <w:rPr>
                <w:i/>
                <w:iCs/>
                <w:sz w:val="20"/>
                <w:szCs w:val="20"/>
              </w:rPr>
              <w:t>4-Distinguished; 3-Proficient; 2-Emerging; 1-Underdeveloped (3.5, 2.5, and 1.5 ratings are permitted)</w:t>
            </w:r>
          </w:p>
        </w:tc>
        <w:tc>
          <w:tcPr>
            <w:tcW w:w="536" w:type="pct"/>
            <w:shd w:val="clear" w:color="auto" w:fill="FFF2CC" w:themeFill="accent4" w:themeFillTint="33"/>
          </w:tcPr>
          <w:p w14:paraId="4FFCD942" w14:textId="77777777" w:rsidR="001A2A00" w:rsidRPr="0056612D" w:rsidRDefault="001A2A00" w:rsidP="00BA2AAC">
            <w:r w:rsidRPr="0056612D">
              <w:t>Mean Score</w:t>
            </w:r>
          </w:p>
          <w:p w14:paraId="3227AB65" w14:textId="77777777" w:rsidR="001A2A00" w:rsidRPr="0056612D" w:rsidRDefault="001A2A00" w:rsidP="00BA2AAC">
            <w:pPr>
              <w:jc w:val="center"/>
            </w:pPr>
          </w:p>
        </w:tc>
      </w:tr>
      <w:tr w:rsidR="001A2A00" w:rsidRPr="0056612D" w14:paraId="5769335B" w14:textId="77777777" w:rsidTr="00BA2AAC">
        <w:tc>
          <w:tcPr>
            <w:tcW w:w="4464" w:type="pct"/>
          </w:tcPr>
          <w:p w14:paraId="5771CC1C" w14:textId="77777777" w:rsidR="001A2A00" w:rsidRPr="0056612D" w:rsidRDefault="001A2A00" w:rsidP="00BA2AAC">
            <w:pPr>
              <w:rPr>
                <w:b/>
                <w:bCs/>
              </w:rPr>
            </w:pPr>
            <w:r w:rsidRPr="0056612D">
              <w:rPr>
                <w:b/>
                <w:bCs/>
              </w:rPr>
              <w:t>Effectively teaches subject matter (InTASC 4) N=334</w:t>
            </w:r>
          </w:p>
        </w:tc>
        <w:tc>
          <w:tcPr>
            <w:tcW w:w="536" w:type="pct"/>
          </w:tcPr>
          <w:p w14:paraId="43B02431" w14:textId="77777777" w:rsidR="001A2A00" w:rsidRPr="0056612D" w:rsidRDefault="001A2A00" w:rsidP="00BA2AAC">
            <w:pPr>
              <w:jc w:val="center"/>
              <w:rPr>
                <w:b/>
                <w:bCs/>
              </w:rPr>
            </w:pPr>
            <w:r w:rsidRPr="0056612D">
              <w:rPr>
                <w:b/>
                <w:bCs/>
              </w:rPr>
              <w:t>3.44</w:t>
            </w:r>
          </w:p>
        </w:tc>
      </w:tr>
    </w:tbl>
    <w:p w14:paraId="79E415CD" w14:textId="77777777" w:rsidR="001A2A00" w:rsidRPr="00C10278" w:rsidRDefault="001A2A00" w:rsidP="001A2A00">
      <w:pPr>
        <w:rPr>
          <w:sz w:val="10"/>
          <w:szCs w:val="10"/>
        </w:rPr>
      </w:pPr>
    </w:p>
    <w:tbl>
      <w:tblPr>
        <w:tblStyle w:val="TableGrid"/>
        <w:tblW w:w="5000" w:type="pct"/>
        <w:tblLook w:val="04A0" w:firstRow="1" w:lastRow="0" w:firstColumn="1" w:lastColumn="0" w:noHBand="0" w:noVBand="1"/>
      </w:tblPr>
      <w:tblGrid>
        <w:gridCol w:w="8348"/>
        <w:gridCol w:w="1002"/>
      </w:tblGrid>
      <w:tr w:rsidR="001A2A00" w:rsidRPr="0056612D" w14:paraId="13C365F0" w14:textId="77777777" w:rsidTr="00BA2AAC">
        <w:tc>
          <w:tcPr>
            <w:tcW w:w="4464" w:type="pct"/>
            <w:shd w:val="clear" w:color="auto" w:fill="E2EFD9" w:themeFill="accent6" w:themeFillTint="33"/>
          </w:tcPr>
          <w:p w14:paraId="3E256151" w14:textId="77777777" w:rsidR="001A2A00" w:rsidRPr="00C10278" w:rsidRDefault="001A2A00" w:rsidP="00BA2AAC">
            <w:pPr>
              <w:rPr>
                <w:b/>
                <w:bCs/>
              </w:rPr>
            </w:pPr>
            <w:r w:rsidRPr="0056612D">
              <w:rPr>
                <w:b/>
                <w:bCs/>
              </w:rPr>
              <w:t xml:space="preserve">Teacher Candidate Exit Survey Ratings Fall 2011-Spring 2020 </w:t>
            </w:r>
            <w:r w:rsidRPr="0056612D">
              <w:t>(Student teachers at time of graduation)</w:t>
            </w:r>
          </w:p>
          <w:p w14:paraId="3B134667" w14:textId="77777777" w:rsidR="001A2A00" w:rsidRPr="0056612D" w:rsidRDefault="001A2A00" w:rsidP="00BA2AAC">
            <w:pPr>
              <w:rPr>
                <w:i/>
                <w:iCs/>
              </w:rPr>
            </w:pPr>
            <w:r w:rsidRPr="0056612D">
              <w:rPr>
                <w:color w:val="000000"/>
              </w:rPr>
              <w:t>To what extent do you agree or disagree that your teacher preparation program gave you the basic skills to do the following?</w:t>
            </w:r>
            <w:r w:rsidRPr="0056612D">
              <w:rPr>
                <w:b/>
                <w:bCs/>
                <w:color w:val="000000"/>
              </w:rPr>
              <w:t xml:space="preserve">  </w:t>
            </w:r>
            <w:r w:rsidRPr="0056612D">
              <w:rPr>
                <w:i/>
                <w:iCs/>
                <w:sz w:val="20"/>
                <w:szCs w:val="20"/>
              </w:rPr>
              <w:t>4-Agree; 3-Tend to Agree; 2-Tend to Disagree; 1-Disagree</w:t>
            </w:r>
          </w:p>
        </w:tc>
        <w:tc>
          <w:tcPr>
            <w:tcW w:w="536" w:type="pct"/>
            <w:shd w:val="clear" w:color="auto" w:fill="E2EFD9" w:themeFill="accent6" w:themeFillTint="33"/>
          </w:tcPr>
          <w:p w14:paraId="6D80BF6C" w14:textId="77777777" w:rsidR="001A2A00" w:rsidRPr="0056612D" w:rsidRDefault="001A2A00" w:rsidP="00BA2AAC">
            <w:pPr>
              <w:jc w:val="center"/>
            </w:pPr>
          </w:p>
          <w:p w14:paraId="7F3C828C" w14:textId="77777777" w:rsidR="001A2A00" w:rsidRPr="0056612D" w:rsidRDefault="001A2A00" w:rsidP="00BA2AAC">
            <w:r w:rsidRPr="0056612D">
              <w:t>Mean Score</w:t>
            </w:r>
          </w:p>
          <w:p w14:paraId="4F693FDA" w14:textId="77777777" w:rsidR="001A2A00" w:rsidRPr="0056612D" w:rsidRDefault="001A2A00" w:rsidP="00BA2AAC">
            <w:pPr>
              <w:jc w:val="center"/>
            </w:pPr>
          </w:p>
        </w:tc>
      </w:tr>
      <w:tr w:rsidR="001A2A00" w:rsidRPr="0056612D" w14:paraId="3157861A" w14:textId="77777777" w:rsidTr="00BA2AAC">
        <w:tc>
          <w:tcPr>
            <w:tcW w:w="4464" w:type="pct"/>
          </w:tcPr>
          <w:p w14:paraId="4A2A7690" w14:textId="77777777" w:rsidR="001A2A00" w:rsidRPr="0056612D" w:rsidRDefault="001A2A00" w:rsidP="00BA2AAC">
            <w:pPr>
              <w:rPr>
                <w:b/>
                <w:bCs/>
              </w:rPr>
            </w:pPr>
            <w:r w:rsidRPr="0056612D">
              <w:rPr>
                <w:b/>
                <w:bCs/>
              </w:rPr>
              <w:t>Effectively teaches subject matter (InTASC 4) – VCSU Candidates N=1055</w:t>
            </w:r>
          </w:p>
        </w:tc>
        <w:tc>
          <w:tcPr>
            <w:tcW w:w="536" w:type="pct"/>
          </w:tcPr>
          <w:p w14:paraId="5A134C00" w14:textId="77777777" w:rsidR="001A2A00" w:rsidRPr="0056612D" w:rsidRDefault="001A2A00" w:rsidP="00BA2AAC">
            <w:pPr>
              <w:jc w:val="center"/>
              <w:rPr>
                <w:b/>
                <w:bCs/>
              </w:rPr>
            </w:pPr>
            <w:r w:rsidRPr="0056612D">
              <w:rPr>
                <w:b/>
                <w:bCs/>
              </w:rPr>
              <w:t>3.66</w:t>
            </w:r>
          </w:p>
        </w:tc>
      </w:tr>
    </w:tbl>
    <w:p w14:paraId="05C04EB8" w14:textId="77777777" w:rsidR="001A2A00" w:rsidRPr="00C10278" w:rsidRDefault="001A2A00" w:rsidP="001A2A00">
      <w:pPr>
        <w:rPr>
          <w:sz w:val="10"/>
          <w:szCs w:val="10"/>
        </w:rPr>
      </w:pPr>
    </w:p>
    <w:tbl>
      <w:tblPr>
        <w:tblStyle w:val="TableGrid"/>
        <w:tblW w:w="5000" w:type="pct"/>
        <w:tblLook w:val="04A0" w:firstRow="1" w:lastRow="0" w:firstColumn="1" w:lastColumn="0" w:noHBand="0" w:noVBand="1"/>
      </w:tblPr>
      <w:tblGrid>
        <w:gridCol w:w="8348"/>
        <w:gridCol w:w="1002"/>
      </w:tblGrid>
      <w:tr w:rsidR="001A2A00" w:rsidRPr="0056612D" w14:paraId="68F712D7" w14:textId="77777777" w:rsidTr="00BA2AAC">
        <w:tc>
          <w:tcPr>
            <w:tcW w:w="4464" w:type="pct"/>
            <w:shd w:val="clear" w:color="auto" w:fill="DEEAF6" w:themeFill="accent5" w:themeFillTint="33"/>
          </w:tcPr>
          <w:p w14:paraId="3D988FF5" w14:textId="77777777" w:rsidR="001A2A00" w:rsidRPr="00C10278" w:rsidRDefault="001A2A00" w:rsidP="00BA2AAC">
            <w:pPr>
              <w:rPr>
                <w:b/>
                <w:bCs/>
              </w:rPr>
            </w:pPr>
            <w:r w:rsidRPr="0056612D">
              <w:rPr>
                <w:b/>
                <w:bCs/>
              </w:rPr>
              <w:t xml:space="preserve">Completer Survey Ratings Spring 2012-Spring 2020 </w:t>
            </w:r>
            <w:r w:rsidRPr="0056612D">
              <w:t xml:space="preserve">(Alumni perceptions during </w:t>
            </w:r>
            <w:r>
              <w:t xml:space="preserve">the </w:t>
            </w:r>
            <w:r w:rsidRPr="0056612D">
              <w:t>first year of teaching)</w:t>
            </w:r>
          </w:p>
          <w:p w14:paraId="20D77CCD" w14:textId="77777777" w:rsidR="001A2A00" w:rsidRPr="0056612D" w:rsidRDefault="001A2A00" w:rsidP="00BA2AAC">
            <w:pPr>
              <w:rPr>
                <w:color w:val="000000"/>
              </w:rPr>
            </w:pPr>
            <w:r w:rsidRPr="0056612D">
              <w:rPr>
                <w:color w:val="000000"/>
              </w:rPr>
              <w:t>To what extent do you agree or disagree that your teacher preparation program prepared you to…</w:t>
            </w:r>
          </w:p>
          <w:p w14:paraId="05DB934D" w14:textId="77777777" w:rsidR="001A2A00" w:rsidRPr="0056612D" w:rsidRDefault="001A2A00" w:rsidP="00BA2AAC">
            <w:pPr>
              <w:rPr>
                <w:i/>
                <w:iCs/>
                <w:sz w:val="20"/>
                <w:szCs w:val="20"/>
              </w:rPr>
            </w:pPr>
            <w:r w:rsidRPr="0056612D">
              <w:rPr>
                <w:i/>
                <w:iCs/>
                <w:sz w:val="20"/>
                <w:szCs w:val="20"/>
              </w:rPr>
              <w:t>4-Agree; 3-Tend to Agree; 2-Tend to Disagree; 1-Disagree</w:t>
            </w:r>
          </w:p>
        </w:tc>
        <w:tc>
          <w:tcPr>
            <w:tcW w:w="536" w:type="pct"/>
            <w:shd w:val="clear" w:color="auto" w:fill="DEEAF6" w:themeFill="accent5" w:themeFillTint="33"/>
          </w:tcPr>
          <w:p w14:paraId="53AEA7BF" w14:textId="77777777" w:rsidR="001A2A00" w:rsidRDefault="001A2A00" w:rsidP="00BA2AAC">
            <w:pPr>
              <w:jc w:val="center"/>
            </w:pPr>
          </w:p>
          <w:p w14:paraId="6E661BC2" w14:textId="77777777" w:rsidR="001A2A00" w:rsidRPr="0056612D" w:rsidRDefault="001A2A00" w:rsidP="00BA2AAC">
            <w:r w:rsidRPr="0056612D">
              <w:t>Mean Score</w:t>
            </w:r>
          </w:p>
          <w:p w14:paraId="5E43C55B" w14:textId="77777777" w:rsidR="001A2A00" w:rsidRPr="0056612D" w:rsidRDefault="001A2A00" w:rsidP="00BA2AAC">
            <w:pPr>
              <w:jc w:val="center"/>
            </w:pPr>
          </w:p>
        </w:tc>
      </w:tr>
      <w:tr w:rsidR="001A2A00" w:rsidRPr="0056612D" w14:paraId="7C1ADE79" w14:textId="77777777" w:rsidTr="00BA2AAC">
        <w:tc>
          <w:tcPr>
            <w:tcW w:w="4464" w:type="pct"/>
          </w:tcPr>
          <w:p w14:paraId="699AB9B0" w14:textId="77777777" w:rsidR="001A2A00" w:rsidRPr="0056612D" w:rsidRDefault="001A2A00" w:rsidP="00BA2AAC">
            <w:pPr>
              <w:rPr>
                <w:b/>
                <w:bCs/>
                <w:color w:val="000000"/>
              </w:rPr>
            </w:pPr>
            <w:r w:rsidRPr="0056612D">
              <w:rPr>
                <w:b/>
                <w:bCs/>
                <w:color w:val="000000"/>
              </w:rPr>
              <w:lastRenderedPageBreak/>
              <w:t xml:space="preserve">Effectively teach the subject matter in my licensure area </w:t>
            </w:r>
            <w:r w:rsidRPr="0056612D">
              <w:rPr>
                <w:b/>
                <w:bCs/>
              </w:rPr>
              <w:t>(InTASC 4) – VCSU First</w:t>
            </w:r>
            <w:r>
              <w:rPr>
                <w:b/>
                <w:bCs/>
              </w:rPr>
              <w:t>-</w:t>
            </w:r>
            <w:r w:rsidRPr="0056612D">
              <w:rPr>
                <w:b/>
                <w:bCs/>
              </w:rPr>
              <w:t>Year Teachers N=437</w:t>
            </w:r>
          </w:p>
        </w:tc>
        <w:tc>
          <w:tcPr>
            <w:tcW w:w="536" w:type="pct"/>
          </w:tcPr>
          <w:p w14:paraId="6FD2913E" w14:textId="77777777" w:rsidR="001A2A00" w:rsidRPr="0056612D" w:rsidRDefault="001A2A00" w:rsidP="00BA2AAC">
            <w:pPr>
              <w:jc w:val="center"/>
              <w:rPr>
                <w:b/>
                <w:bCs/>
              </w:rPr>
            </w:pPr>
            <w:r w:rsidRPr="0056612D">
              <w:rPr>
                <w:b/>
                <w:bCs/>
              </w:rPr>
              <w:t>3.70</w:t>
            </w:r>
          </w:p>
        </w:tc>
      </w:tr>
    </w:tbl>
    <w:p w14:paraId="2DD5B7FA" w14:textId="77777777" w:rsidR="001A2A00" w:rsidRPr="00C10278" w:rsidRDefault="001A2A00" w:rsidP="001A2A00">
      <w:pPr>
        <w:rPr>
          <w:sz w:val="10"/>
          <w:szCs w:val="10"/>
        </w:rPr>
      </w:pPr>
    </w:p>
    <w:tbl>
      <w:tblPr>
        <w:tblStyle w:val="TableGrid"/>
        <w:tblW w:w="5000" w:type="pct"/>
        <w:tblLook w:val="04A0" w:firstRow="1" w:lastRow="0" w:firstColumn="1" w:lastColumn="0" w:noHBand="0" w:noVBand="1"/>
      </w:tblPr>
      <w:tblGrid>
        <w:gridCol w:w="8348"/>
        <w:gridCol w:w="1002"/>
      </w:tblGrid>
      <w:tr w:rsidR="001A2A00" w:rsidRPr="0056612D" w14:paraId="771EA645" w14:textId="77777777" w:rsidTr="00BA2AAC">
        <w:tc>
          <w:tcPr>
            <w:tcW w:w="4464" w:type="pct"/>
            <w:shd w:val="clear" w:color="auto" w:fill="F2F2F2" w:themeFill="background1" w:themeFillShade="F2"/>
          </w:tcPr>
          <w:p w14:paraId="7AFFBA93" w14:textId="77777777" w:rsidR="001A2A00" w:rsidRPr="00C10278" w:rsidRDefault="001A2A00" w:rsidP="00BA2AAC">
            <w:pPr>
              <w:rPr>
                <w:b/>
                <w:bCs/>
              </w:rPr>
            </w:pPr>
            <w:r w:rsidRPr="0056612D">
              <w:rPr>
                <w:b/>
                <w:bCs/>
              </w:rPr>
              <w:t xml:space="preserve">Employer Survey Ratings Spring 2012-Spring 2020 </w:t>
            </w:r>
            <w:r w:rsidRPr="0056612D">
              <w:t>(Principals ratings of VCSU first</w:t>
            </w:r>
            <w:r>
              <w:t>-</w:t>
            </w:r>
            <w:r w:rsidRPr="0056612D">
              <w:t>year teachers)</w:t>
            </w:r>
          </w:p>
          <w:p w14:paraId="3FA5818E" w14:textId="77777777" w:rsidR="001A2A00" w:rsidRPr="0056612D" w:rsidRDefault="001A2A00" w:rsidP="00BA2AAC">
            <w:pPr>
              <w:rPr>
                <w:color w:val="000000"/>
              </w:rPr>
            </w:pPr>
            <w:r w:rsidRPr="0056612D">
              <w:rPr>
                <w:color w:val="000000"/>
              </w:rPr>
              <w:t>To what extent do you agree or disagree that this first-year teacher does the following?</w:t>
            </w:r>
          </w:p>
          <w:p w14:paraId="4B67EAA5" w14:textId="77777777" w:rsidR="001A2A00" w:rsidRPr="0056612D" w:rsidRDefault="001A2A00" w:rsidP="00BA2AAC">
            <w:pPr>
              <w:rPr>
                <w:i/>
                <w:iCs/>
                <w:sz w:val="20"/>
                <w:szCs w:val="20"/>
              </w:rPr>
            </w:pPr>
            <w:r w:rsidRPr="0056612D">
              <w:rPr>
                <w:i/>
                <w:iCs/>
                <w:sz w:val="20"/>
                <w:szCs w:val="20"/>
              </w:rPr>
              <w:t>4-Agree; 3-Tend to Agree; 2-Tend to Disagree; 1-Disagree</w:t>
            </w:r>
          </w:p>
        </w:tc>
        <w:tc>
          <w:tcPr>
            <w:tcW w:w="536" w:type="pct"/>
            <w:shd w:val="clear" w:color="auto" w:fill="F2F2F2" w:themeFill="background1" w:themeFillShade="F2"/>
          </w:tcPr>
          <w:p w14:paraId="6CA18F69" w14:textId="77777777" w:rsidR="001A2A00" w:rsidRPr="0056612D" w:rsidRDefault="001A2A00" w:rsidP="00BA2AAC">
            <w:pPr>
              <w:jc w:val="center"/>
            </w:pPr>
            <w:r w:rsidRPr="0056612D">
              <w:t>Mean Score</w:t>
            </w:r>
          </w:p>
          <w:p w14:paraId="0D079653" w14:textId="77777777" w:rsidR="001A2A00" w:rsidRPr="0056612D" w:rsidRDefault="001A2A00" w:rsidP="00BA2AAC">
            <w:pPr>
              <w:jc w:val="center"/>
            </w:pPr>
          </w:p>
        </w:tc>
      </w:tr>
      <w:tr w:rsidR="001A2A00" w:rsidRPr="0056612D" w14:paraId="283A9865" w14:textId="77777777" w:rsidTr="00BA2AAC">
        <w:tc>
          <w:tcPr>
            <w:tcW w:w="4464" w:type="pct"/>
          </w:tcPr>
          <w:p w14:paraId="6DDDA724" w14:textId="77777777" w:rsidR="001A2A00" w:rsidRPr="0056612D" w:rsidRDefault="001A2A00" w:rsidP="00BA2AAC">
            <w:pPr>
              <w:rPr>
                <w:b/>
                <w:bCs/>
                <w:color w:val="000000"/>
              </w:rPr>
            </w:pPr>
            <w:r w:rsidRPr="0056612D">
              <w:rPr>
                <w:b/>
                <w:bCs/>
                <w:color w:val="000000"/>
              </w:rPr>
              <w:t xml:space="preserve">Effectively teach the subject matter in his/her licensure area </w:t>
            </w:r>
            <w:r w:rsidRPr="0056612D">
              <w:rPr>
                <w:b/>
                <w:bCs/>
              </w:rPr>
              <w:t>(InTASC 4) - Employers of VCSU First</w:t>
            </w:r>
            <w:r>
              <w:rPr>
                <w:b/>
                <w:bCs/>
              </w:rPr>
              <w:t>-</w:t>
            </w:r>
            <w:r w:rsidRPr="0056612D">
              <w:rPr>
                <w:b/>
                <w:bCs/>
              </w:rPr>
              <w:t>Year Teachers</w:t>
            </w:r>
            <w:r>
              <w:rPr>
                <w:b/>
                <w:bCs/>
              </w:rPr>
              <w:t xml:space="preserve"> </w:t>
            </w:r>
            <w:r w:rsidRPr="0056612D">
              <w:rPr>
                <w:b/>
                <w:bCs/>
              </w:rPr>
              <w:t>N=317</w:t>
            </w:r>
          </w:p>
        </w:tc>
        <w:tc>
          <w:tcPr>
            <w:tcW w:w="536" w:type="pct"/>
          </w:tcPr>
          <w:p w14:paraId="6B61F681" w14:textId="77777777" w:rsidR="001A2A00" w:rsidRPr="0056612D" w:rsidRDefault="001A2A00" w:rsidP="00BA2AAC">
            <w:pPr>
              <w:jc w:val="center"/>
              <w:rPr>
                <w:b/>
                <w:bCs/>
              </w:rPr>
            </w:pPr>
            <w:r w:rsidRPr="0056612D">
              <w:rPr>
                <w:b/>
                <w:bCs/>
              </w:rPr>
              <w:t>3.77</w:t>
            </w:r>
          </w:p>
        </w:tc>
      </w:tr>
    </w:tbl>
    <w:p w14:paraId="6AF512F6" w14:textId="77777777" w:rsidR="001A2A00" w:rsidRPr="00C10278" w:rsidRDefault="001A2A00" w:rsidP="001A2A00">
      <w:pPr>
        <w:pStyle w:val="NormalWeb"/>
        <w:spacing w:before="0" w:beforeAutospacing="0" w:after="0" w:afterAutospacing="0"/>
        <w:rPr>
          <w:color w:val="2E74B5" w:themeColor="accent5" w:themeShade="BF"/>
          <w:sz w:val="10"/>
          <w:szCs w:val="10"/>
        </w:rPr>
      </w:pPr>
    </w:p>
    <w:p w14:paraId="56E55104" w14:textId="77777777" w:rsidR="001A2A00" w:rsidRPr="0056612D" w:rsidRDefault="001A2A00" w:rsidP="001A2A00">
      <w:pPr>
        <w:rPr>
          <w:sz w:val="22"/>
          <w:szCs w:val="22"/>
        </w:rPr>
      </w:pPr>
      <w:r w:rsidRPr="0056612D">
        <w:rPr>
          <w:b/>
          <w:bCs/>
          <w:sz w:val="22"/>
          <w:szCs w:val="22"/>
        </w:rPr>
        <w:t>Analysis:</w:t>
      </w:r>
      <w:r w:rsidRPr="0056612D">
        <w:rPr>
          <w:sz w:val="22"/>
          <w:szCs w:val="22"/>
        </w:rPr>
        <w:t xml:space="preserve"> The data gathered from these various perspectives consistently indicate that teacher candidates are well prepared to effectively teach subject matter. The mean scores for the teacher candidate ratings and the completer ratings indicate </w:t>
      </w:r>
      <w:r>
        <w:rPr>
          <w:sz w:val="22"/>
          <w:szCs w:val="22"/>
        </w:rPr>
        <w:t xml:space="preserve">a positive </w:t>
      </w:r>
      <w:r w:rsidRPr="0056612D">
        <w:rPr>
          <w:sz w:val="22"/>
          <w:szCs w:val="22"/>
        </w:rPr>
        <w:t>confidence</w:t>
      </w:r>
      <w:r>
        <w:rPr>
          <w:sz w:val="22"/>
          <w:szCs w:val="22"/>
        </w:rPr>
        <w:t xml:space="preserve"> level</w:t>
      </w:r>
      <w:r w:rsidRPr="0056612D">
        <w:rPr>
          <w:sz w:val="22"/>
          <w:szCs w:val="22"/>
        </w:rPr>
        <w:t>. The cooperating teacher mean score ratings are well above the proficient level (3.00) and employer mean score rating of 3.77 is much closer to “Agree” than “Tend to Agree”. The cooperating teacher and employer ratings provide meaningful feedback from external sources of VCSU teacher candidate and completer performances while teaching K-12 learners.</w:t>
      </w:r>
    </w:p>
    <w:p w14:paraId="3661E4CA" w14:textId="77777777" w:rsidR="001A2A00" w:rsidRPr="00C10278" w:rsidRDefault="001A2A00" w:rsidP="001A2A00">
      <w:pPr>
        <w:rPr>
          <w:sz w:val="10"/>
          <w:szCs w:val="10"/>
        </w:rPr>
      </w:pPr>
    </w:p>
    <w:p w14:paraId="6492E728" w14:textId="77777777" w:rsidR="001A2A00" w:rsidRDefault="001A2A00" w:rsidP="001A2A00">
      <w:pPr>
        <w:rPr>
          <w:sz w:val="22"/>
          <w:szCs w:val="22"/>
        </w:rPr>
      </w:pPr>
      <w:r w:rsidRPr="0056612D">
        <w:rPr>
          <w:b/>
          <w:bCs/>
          <w:sz w:val="22"/>
          <w:szCs w:val="22"/>
        </w:rPr>
        <w:t>Action:</w:t>
      </w:r>
      <w:r w:rsidRPr="0056612D">
        <w:rPr>
          <w:sz w:val="22"/>
          <w:szCs w:val="22"/>
        </w:rPr>
        <w:t xml:space="preserve"> Teacher candidates </w:t>
      </w:r>
      <w:r>
        <w:rPr>
          <w:sz w:val="22"/>
          <w:szCs w:val="22"/>
        </w:rPr>
        <w:t>are</w:t>
      </w:r>
      <w:r w:rsidRPr="0056612D">
        <w:rPr>
          <w:sz w:val="22"/>
          <w:szCs w:val="22"/>
        </w:rPr>
        <w:t xml:space="preserve"> develop</w:t>
      </w:r>
      <w:r>
        <w:rPr>
          <w:sz w:val="22"/>
          <w:szCs w:val="22"/>
        </w:rPr>
        <w:t>ing</w:t>
      </w:r>
      <w:r w:rsidRPr="0056612D">
        <w:rPr>
          <w:sz w:val="22"/>
          <w:szCs w:val="22"/>
        </w:rPr>
        <w:t xml:space="preserve"> </w:t>
      </w:r>
      <w:r>
        <w:rPr>
          <w:sz w:val="22"/>
          <w:szCs w:val="22"/>
        </w:rPr>
        <w:t xml:space="preserve">essential </w:t>
      </w:r>
      <w:r w:rsidRPr="0056612D">
        <w:rPr>
          <w:sz w:val="22"/>
          <w:szCs w:val="22"/>
        </w:rPr>
        <w:t>knowledge, skills, and dispositions</w:t>
      </w:r>
      <w:r>
        <w:rPr>
          <w:sz w:val="22"/>
          <w:szCs w:val="22"/>
        </w:rPr>
        <w:t xml:space="preserve"> for teachers</w:t>
      </w:r>
      <w:r w:rsidRPr="0056612D">
        <w:rPr>
          <w:sz w:val="22"/>
          <w:szCs w:val="22"/>
        </w:rPr>
        <w:t>. The unit will continue to help teacher candidates develop content knowledge as well as the skills and dispositions to effectively teach subject matter to learners.</w:t>
      </w:r>
    </w:p>
    <w:p w14:paraId="71C5C458" w14:textId="2C0D1312" w:rsidR="00B27CEF" w:rsidRPr="001A2A00" w:rsidRDefault="001A2A00">
      <w:pPr>
        <w:rPr>
          <w:sz w:val="22"/>
          <w:szCs w:val="22"/>
        </w:rPr>
      </w:pPr>
    </w:p>
    <w:sectPr w:rsidR="00B27CEF" w:rsidRPr="001A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00"/>
    <w:rsid w:val="001A2A00"/>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E2B7E"/>
  <w15:chartTrackingRefBased/>
  <w15:docId w15:val="{1CE23D63-C228-1C4A-888A-4B47CE21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A00"/>
    <w:rPr>
      <w:color w:val="0563C1" w:themeColor="hyperlink"/>
      <w:u w:val="single"/>
    </w:rPr>
  </w:style>
  <w:style w:type="paragraph" w:styleId="NormalWeb">
    <w:name w:val="Normal (Web)"/>
    <w:basedOn w:val="Normal"/>
    <w:uiPriority w:val="99"/>
    <w:unhideWhenUsed/>
    <w:rsid w:val="001A2A00"/>
    <w:pPr>
      <w:spacing w:before="100" w:beforeAutospacing="1" w:after="100" w:afterAutospacing="1"/>
    </w:pPr>
  </w:style>
  <w:style w:type="table" w:styleId="TableGrid">
    <w:name w:val="Table Grid"/>
    <w:basedOn w:val="TableNormal"/>
    <w:uiPriority w:val="39"/>
    <w:rsid w:val="001A2A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csuintasc.myefolio.com/Intasc2021/Uploads/Evidence%20for%20InTASC%204%20Effectively%20Teach%20Subject%20Matter%20Varying%20Perspectives.pdf" TargetMode="External"/><Relationship Id="rId4" Type="http://schemas.openxmlformats.org/officeDocument/2006/relationships/hyperlink" Target="https://vcsuintasc.myefolio.com/Intasc2021/Uploads/Evidence%20for%20InTASC%204%20Effectively%20Teach%20Subject%20Matter%20Varying%20Persp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2020-12-09T20:35:00Z</dcterms:created>
  <dcterms:modified xsi:type="dcterms:W3CDTF">2020-12-09T20:35:00Z</dcterms:modified>
</cp:coreProperties>
</file>