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116"/>
        <w:gridCol w:w="2859"/>
        <w:gridCol w:w="3375"/>
      </w:tblGrid>
      <w:tr w:rsidR="00405D20" w:rsidRPr="00AE43EE" w14:paraId="3737839E" w14:textId="77777777" w:rsidTr="00BA2AAC">
        <w:tc>
          <w:tcPr>
            <w:tcW w:w="1666" w:type="pct"/>
          </w:tcPr>
          <w:p w14:paraId="42DD38C5" w14:textId="77777777" w:rsidR="00405D20" w:rsidRPr="00AE43EE" w:rsidRDefault="00405D20"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9</w:t>
            </w:r>
          </w:p>
        </w:tc>
        <w:tc>
          <w:tcPr>
            <w:tcW w:w="1529" w:type="pct"/>
          </w:tcPr>
          <w:p w14:paraId="3BD7A6C6" w14:textId="77777777" w:rsidR="00405D20" w:rsidRDefault="00405D20" w:rsidP="00BA2AAC">
            <w:pPr>
              <w:jc w:val="center"/>
              <w:rPr>
                <w:color w:val="000000" w:themeColor="text1"/>
              </w:rPr>
            </w:pPr>
            <w:r w:rsidRPr="00AE43EE">
              <w:rPr>
                <w:color w:val="000000" w:themeColor="text1"/>
              </w:rPr>
              <w:t xml:space="preserve">Course Prefix and Title </w:t>
            </w:r>
          </w:p>
          <w:p w14:paraId="5B25BF29" w14:textId="77777777" w:rsidR="00405D20" w:rsidRPr="00AE43EE" w:rsidRDefault="00405D20" w:rsidP="00BA2AAC">
            <w:pPr>
              <w:jc w:val="center"/>
              <w:rPr>
                <w:color w:val="000000" w:themeColor="text1"/>
              </w:rPr>
            </w:pPr>
            <w:r w:rsidRPr="00AE43EE">
              <w:rPr>
                <w:color w:val="000000" w:themeColor="text1"/>
              </w:rPr>
              <w:t>(</w:t>
            </w:r>
            <w:r>
              <w:rPr>
                <w:color w:val="000000" w:themeColor="text1"/>
              </w:rPr>
              <w:t>e</w:t>
            </w:r>
            <w:r w:rsidRPr="00AE43EE">
              <w:rPr>
                <w:color w:val="000000" w:themeColor="text1"/>
              </w:rPr>
              <w:t>lectronic links to syllabi)</w:t>
            </w:r>
          </w:p>
        </w:tc>
        <w:tc>
          <w:tcPr>
            <w:tcW w:w="1805" w:type="pct"/>
          </w:tcPr>
          <w:p w14:paraId="522381CD" w14:textId="77777777" w:rsidR="00405D20" w:rsidRPr="00AE43EE" w:rsidRDefault="00405D20"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405D20" w:rsidRPr="00AE43EE" w14:paraId="6E4EC5B4" w14:textId="77777777" w:rsidTr="00BA2AAC">
        <w:tc>
          <w:tcPr>
            <w:tcW w:w="1666" w:type="pct"/>
          </w:tcPr>
          <w:p w14:paraId="67C11EAF" w14:textId="77777777" w:rsidR="00405D20" w:rsidRPr="00AE43EE" w:rsidRDefault="00405D20" w:rsidP="00BA2AAC">
            <w:pPr>
              <w:rPr>
                <w:color w:val="000000" w:themeColor="text1"/>
              </w:rPr>
            </w:pPr>
            <w:r w:rsidRPr="0028341D">
              <w:rPr>
                <w:b/>
                <w:bCs/>
                <w:color w:val="000000" w:themeColor="text1"/>
              </w:rPr>
              <w:t>Standard #9 Profession</w:t>
            </w:r>
            <w:r>
              <w:rPr>
                <w:b/>
                <w:bCs/>
                <w:color w:val="000000" w:themeColor="text1"/>
              </w:rPr>
              <w:t>al</w:t>
            </w:r>
            <w:r w:rsidRPr="0028341D">
              <w:rPr>
                <w:b/>
                <w:bCs/>
                <w:color w:val="000000" w:themeColor="text1"/>
              </w:rPr>
              <w:t xml:space="preserve"> Learning and Ethical Practice: </w:t>
            </w:r>
            <w:r w:rsidRPr="0028341D">
              <w:rPr>
                <w:color w:val="000000" w:themeColor="text1"/>
              </w:rPr>
              <w:t xml:space="preserve">The program requires candidates </w:t>
            </w:r>
            <w:r>
              <w:rPr>
                <w:color w:val="000000" w:themeColor="text1"/>
              </w:rPr>
              <w:t xml:space="preserve">to </w:t>
            </w:r>
            <w:r w:rsidRPr="0028341D">
              <w:rPr>
                <w:color w:val="000000" w:themeColor="text1"/>
              </w:rPr>
              <w:t>engage in ongoing professional learning and use evidence to continually evaluate his/her practice, particularly the effects of his/her choices and actions on others (learners, families, other professionals, and the community), and adapts practice to meet the needs of each learner.</w:t>
            </w:r>
          </w:p>
        </w:tc>
        <w:tc>
          <w:tcPr>
            <w:tcW w:w="1529" w:type="pct"/>
            <w:vAlign w:val="center"/>
          </w:tcPr>
          <w:p w14:paraId="76C31B0E" w14:textId="77777777" w:rsidR="00405D20" w:rsidRPr="0028341D" w:rsidRDefault="00405D20" w:rsidP="00BA2AAC">
            <w:pPr>
              <w:widowControl w:val="0"/>
              <w:autoSpaceDE w:val="0"/>
              <w:autoSpaceDN w:val="0"/>
              <w:adjustRightInd w:val="0"/>
              <w:rPr>
                <w:color w:val="000000" w:themeColor="text1"/>
              </w:rPr>
            </w:pPr>
            <w:r w:rsidRPr="0028341D">
              <w:rPr>
                <w:color w:val="000000" w:themeColor="text1"/>
              </w:rPr>
              <w:t xml:space="preserve">EDUC 250 - </w:t>
            </w:r>
            <w:hyperlink r:id="rId4" w:history="1">
              <w:r w:rsidRPr="00790023">
                <w:rPr>
                  <w:rStyle w:val="Hyperlink"/>
                </w:rPr>
                <w:t>Intro to Education</w:t>
              </w:r>
            </w:hyperlink>
            <w:r w:rsidRPr="0028341D">
              <w:rPr>
                <w:color w:val="000000" w:themeColor="text1"/>
              </w:rPr>
              <w:t xml:space="preserve"> </w:t>
            </w:r>
          </w:p>
          <w:p w14:paraId="35F1CF1D" w14:textId="77777777" w:rsidR="00405D20" w:rsidRPr="0028341D" w:rsidRDefault="00405D20" w:rsidP="00BA2AAC">
            <w:pPr>
              <w:widowControl w:val="0"/>
              <w:autoSpaceDE w:val="0"/>
              <w:autoSpaceDN w:val="0"/>
              <w:adjustRightInd w:val="0"/>
              <w:rPr>
                <w:color w:val="000000" w:themeColor="text1"/>
              </w:rPr>
            </w:pPr>
            <w:hyperlink r:id="rId5" w:history="1">
              <w:r w:rsidRPr="009E19DC">
                <w:rPr>
                  <w:rStyle w:val="Hyperlink"/>
                </w:rPr>
                <w:t>EDUC 350</w:t>
              </w:r>
            </w:hyperlink>
            <w:r>
              <w:rPr>
                <w:color w:val="000000" w:themeColor="text1"/>
              </w:rPr>
              <w:t xml:space="preserve"> </w:t>
            </w:r>
            <w:r w:rsidRPr="0028341D">
              <w:rPr>
                <w:color w:val="000000" w:themeColor="text1"/>
              </w:rPr>
              <w:t>/351</w:t>
            </w:r>
            <w:r>
              <w:rPr>
                <w:color w:val="000000" w:themeColor="text1"/>
              </w:rPr>
              <w:t xml:space="preserve">- </w:t>
            </w:r>
            <w:hyperlink r:id="rId6" w:history="1">
              <w:r w:rsidRPr="009E19DC">
                <w:rPr>
                  <w:rStyle w:val="Hyperlink"/>
                </w:rPr>
                <w:t>Practicum and Classroom Management</w:t>
              </w:r>
            </w:hyperlink>
            <w:r w:rsidRPr="0028341D">
              <w:rPr>
                <w:color w:val="000000" w:themeColor="text1"/>
              </w:rPr>
              <w:t xml:space="preserve"> </w:t>
            </w:r>
          </w:p>
          <w:p w14:paraId="18A35C16" w14:textId="77777777" w:rsidR="00405D20" w:rsidRPr="00AE43EE" w:rsidRDefault="00405D20"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7" w:history="1">
              <w:r w:rsidRPr="008578FD">
                <w:rPr>
                  <w:rStyle w:val="Hyperlink"/>
                </w:rPr>
                <w:t>Student Teaching</w:t>
              </w:r>
            </w:hyperlink>
            <w:r w:rsidRPr="0028341D">
              <w:rPr>
                <w:color w:val="000000" w:themeColor="text1"/>
              </w:rPr>
              <w:t xml:space="preserve"> </w:t>
            </w:r>
          </w:p>
        </w:tc>
        <w:tc>
          <w:tcPr>
            <w:tcW w:w="1805" w:type="pct"/>
            <w:vAlign w:val="center"/>
          </w:tcPr>
          <w:p w14:paraId="4E107595" w14:textId="77777777" w:rsidR="00405D20" w:rsidRPr="0028341D" w:rsidRDefault="00405D20" w:rsidP="00BA2AAC">
            <w:pPr>
              <w:widowControl w:val="0"/>
              <w:autoSpaceDE w:val="0"/>
              <w:autoSpaceDN w:val="0"/>
              <w:adjustRightInd w:val="0"/>
              <w:rPr>
                <w:color w:val="000000" w:themeColor="text1"/>
              </w:rPr>
            </w:pPr>
            <w:r w:rsidRPr="0028341D">
              <w:rPr>
                <w:color w:val="000000" w:themeColor="text1"/>
              </w:rPr>
              <w:t xml:space="preserve">InTASC 9 - Student Teaching Data </w:t>
            </w:r>
          </w:p>
          <w:p w14:paraId="687BBACE" w14:textId="77777777" w:rsidR="00405D20" w:rsidRPr="0028341D" w:rsidRDefault="00405D20" w:rsidP="00BA2AAC">
            <w:pPr>
              <w:widowControl w:val="0"/>
              <w:autoSpaceDE w:val="0"/>
              <w:autoSpaceDN w:val="0"/>
              <w:adjustRightInd w:val="0"/>
              <w:rPr>
                <w:color w:val="000000" w:themeColor="text1"/>
              </w:rPr>
            </w:pPr>
            <w:r w:rsidRPr="0028341D">
              <w:rPr>
                <w:color w:val="000000" w:themeColor="text1"/>
              </w:rPr>
              <w:t xml:space="preserve">InTASC 9 - Exit Survey </w:t>
            </w:r>
          </w:p>
          <w:p w14:paraId="6DBA5D54" w14:textId="77777777" w:rsidR="00405D20" w:rsidRPr="0028341D" w:rsidRDefault="00405D20" w:rsidP="00BA2AAC">
            <w:pPr>
              <w:widowControl w:val="0"/>
              <w:autoSpaceDE w:val="0"/>
              <w:autoSpaceDN w:val="0"/>
              <w:adjustRightInd w:val="0"/>
              <w:rPr>
                <w:color w:val="000000" w:themeColor="text1"/>
              </w:rPr>
            </w:pPr>
            <w:r w:rsidRPr="0028341D">
              <w:rPr>
                <w:color w:val="000000" w:themeColor="text1"/>
              </w:rPr>
              <w:t>InTASC 9 - Completer Survey</w:t>
            </w:r>
          </w:p>
          <w:p w14:paraId="219B6052" w14:textId="77777777" w:rsidR="00405D20" w:rsidRPr="0028341D" w:rsidRDefault="00405D20" w:rsidP="00BA2AAC">
            <w:pPr>
              <w:widowControl w:val="0"/>
              <w:autoSpaceDE w:val="0"/>
              <w:autoSpaceDN w:val="0"/>
              <w:adjustRightInd w:val="0"/>
              <w:rPr>
                <w:color w:val="000000" w:themeColor="text1"/>
              </w:rPr>
            </w:pPr>
            <w:r w:rsidRPr="0028341D">
              <w:rPr>
                <w:color w:val="000000" w:themeColor="text1"/>
              </w:rPr>
              <w:t xml:space="preserve">InTASC 9 </w:t>
            </w:r>
            <w:r>
              <w:rPr>
                <w:color w:val="000000" w:themeColor="text1"/>
              </w:rPr>
              <w:t xml:space="preserve">- </w:t>
            </w:r>
            <w:r w:rsidRPr="0028341D">
              <w:rPr>
                <w:color w:val="000000" w:themeColor="text1"/>
              </w:rPr>
              <w:t xml:space="preserve">Employer Survey </w:t>
            </w:r>
          </w:p>
          <w:p w14:paraId="60CAE68E" w14:textId="77777777" w:rsidR="00405D20" w:rsidRPr="0028341D" w:rsidRDefault="00405D20" w:rsidP="00BA2AAC">
            <w:pPr>
              <w:widowControl w:val="0"/>
              <w:autoSpaceDE w:val="0"/>
              <w:autoSpaceDN w:val="0"/>
              <w:adjustRightInd w:val="0"/>
              <w:rPr>
                <w:color w:val="000000" w:themeColor="text1"/>
              </w:rPr>
            </w:pPr>
            <w:r w:rsidRPr="0028341D">
              <w:rPr>
                <w:color w:val="000000" w:themeColor="text1"/>
              </w:rPr>
              <w:t>InTASC 9 - Disposition Data</w:t>
            </w:r>
          </w:p>
          <w:p w14:paraId="62FBBB56" w14:textId="77777777" w:rsidR="00405D20" w:rsidRPr="00AE43EE" w:rsidRDefault="00405D20" w:rsidP="00BA2AAC">
            <w:pPr>
              <w:widowControl w:val="0"/>
              <w:autoSpaceDE w:val="0"/>
              <w:autoSpaceDN w:val="0"/>
              <w:adjustRightInd w:val="0"/>
              <w:rPr>
                <w:color w:val="000000" w:themeColor="text1"/>
              </w:rPr>
            </w:pPr>
            <w:r w:rsidRPr="0028341D">
              <w:rPr>
                <w:color w:val="000000" w:themeColor="text1"/>
              </w:rPr>
              <w:t xml:space="preserve">TLC Data </w:t>
            </w:r>
          </w:p>
        </w:tc>
      </w:tr>
    </w:tbl>
    <w:p w14:paraId="5F038712" w14:textId="77777777" w:rsidR="00405D20" w:rsidRPr="00AE43EE" w:rsidRDefault="00405D20" w:rsidP="00405D20">
      <w:pPr>
        <w:rPr>
          <w:color w:val="000000" w:themeColor="text1"/>
          <w:sz w:val="22"/>
          <w:szCs w:val="22"/>
        </w:rPr>
      </w:pPr>
    </w:p>
    <w:p w14:paraId="2561A0F9" w14:textId="77777777" w:rsidR="00405D20" w:rsidRDefault="00405D20" w:rsidP="00405D20">
      <w:pPr>
        <w:rPr>
          <w:sz w:val="22"/>
          <w:szCs w:val="22"/>
        </w:rPr>
      </w:pPr>
      <w:r w:rsidRPr="0062721E">
        <w:rPr>
          <w:color w:val="000000" w:themeColor="text1"/>
          <w:sz w:val="22"/>
          <w:szCs w:val="22"/>
        </w:rPr>
        <w:t xml:space="preserve">The data tagged to Standard 9 are gathered and analyzed from exit surveys, student teacher final evaluations, TLC data, completer surveys, and employer surveys </w:t>
      </w:r>
      <w:r w:rsidRPr="0062721E">
        <w:rPr>
          <w:b/>
          <w:bCs/>
          <w:color w:val="000000" w:themeColor="text1"/>
          <w:sz w:val="22"/>
          <w:szCs w:val="22"/>
        </w:rPr>
        <w:t>(</w:t>
      </w:r>
      <w:hyperlink r:id="rId8" w:history="1">
        <w:r w:rsidRPr="0062721E">
          <w:rPr>
            <w:rStyle w:val="Hyperlink"/>
            <w:sz w:val="22"/>
            <w:szCs w:val="22"/>
          </w:rPr>
          <w:t>Evidence for InTASC Standard 9 Evidence 9.1</w:t>
        </w:r>
      </w:hyperlink>
      <w:r w:rsidRPr="0062721E">
        <w:rPr>
          <w:rStyle w:val="eop"/>
          <w:rFonts w:eastAsiaTheme="majorEastAsia"/>
          <w:color w:val="000000" w:themeColor="text1"/>
          <w:sz w:val="22"/>
          <w:szCs w:val="22"/>
          <w:shd w:val="clear" w:color="auto" w:fill="FFFFFF"/>
        </w:rPr>
        <w:t>).</w:t>
      </w:r>
      <w:r w:rsidRPr="0062721E">
        <w:rPr>
          <w:color w:val="000000" w:themeColor="text1"/>
          <w:sz w:val="22"/>
          <w:szCs w:val="22"/>
        </w:rPr>
        <w:t xml:space="preserve"> </w:t>
      </w:r>
      <w:r>
        <w:rPr>
          <w:color w:val="000000" w:themeColor="text1"/>
          <w:sz w:val="22"/>
          <w:szCs w:val="22"/>
        </w:rPr>
        <w:t>S</w:t>
      </w:r>
      <w:r w:rsidRPr="0062721E">
        <w:rPr>
          <w:color w:val="000000" w:themeColor="text1"/>
          <w:sz w:val="22"/>
          <w:szCs w:val="22"/>
        </w:rPr>
        <w:t xml:space="preserve">takeholders have noticed the positive data </w:t>
      </w:r>
      <w:r>
        <w:rPr>
          <w:color w:val="000000" w:themeColor="text1"/>
          <w:sz w:val="22"/>
          <w:szCs w:val="22"/>
        </w:rPr>
        <w:t xml:space="preserve">about the EPP’s teacher candidates </w:t>
      </w:r>
      <w:r w:rsidRPr="0062721E">
        <w:rPr>
          <w:color w:val="000000" w:themeColor="text1"/>
          <w:sz w:val="22"/>
          <w:szCs w:val="22"/>
        </w:rPr>
        <w:t xml:space="preserve">during </w:t>
      </w:r>
      <w:r>
        <w:rPr>
          <w:color w:val="000000" w:themeColor="text1"/>
          <w:sz w:val="22"/>
          <w:szCs w:val="22"/>
        </w:rPr>
        <w:t>a</w:t>
      </w:r>
      <w:r w:rsidRPr="0062721E">
        <w:rPr>
          <w:color w:val="000000" w:themeColor="text1"/>
          <w:sz w:val="22"/>
          <w:szCs w:val="22"/>
        </w:rPr>
        <w:t>nnual data sharing sessions</w:t>
      </w:r>
      <w:r>
        <w:rPr>
          <w:color w:val="000000" w:themeColor="text1"/>
          <w:sz w:val="22"/>
          <w:szCs w:val="22"/>
        </w:rPr>
        <w:t xml:space="preserve"> </w:t>
      </w:r>
      <w:r w:rsidRPr="0062721E">
        <w:rPr>
          <w:color w:val="000000" w:themeColor="text1"/>
          <w:sz w:val="22"/>
          <w:szCs w:val="22"/>
        </w:rPr>
        <w:t xml:space="preserve">and made </w:t>
      </w:r>
      <w:r>
        <w:rPr>
          <w:color w:val="000000" w:themeColor="text1"/>
          <w:sz w:val="22"/>
          <w:szCs w:val="22"/>
        </w:rPr>
        <w:t xml:space="preserve">supportive </w:t>
      </w:r>
      <w:r w:rsidRPr="0062721E">
        <w:rPr>
          <w:color w:val="000000" w:themeColor="text1"/>
          <w:sz w:val="22"/>
          <w:szCs w:val="22"/>
        </w:rPr>
        <w:t>comments</w:t>
      </w:r>
      <w:r>
        <w:rPr>
          <w:color w:val="000000" w:themeColor="text1"/>
          <w:sz w:val="22"/>
          <w:szCs w:val="22"/>
        </w:rPr>
        <w:t xml:space="preserve">. This sample was shared in a bullet-fashion comment at the end of the </w:t>
      </w:r>
      <w:r w:rsidRPr="0062721E">
        <w:rPr>
          <w:color w:val="000000" w:themeColor="text1"/>
          <w:sz w:val="22"/>
          <w:szCs w:val="22"/>
        </w:rPr>
        <w:t>August of 2016</w:t>
      </w:r>
      <w:r>
        <w:rPr>
          <w:color w:val="000000" w:themeColor="text1"/>
          <w:sz w:val="22"/>
          <w:szCs w:val="22"/>
        </w:rPr>
        <w:t xml:space="preserve"> session</w:t>
      </w:r>
      <w:r w:rsidRPr="0062721E">
        <w:rPr>
          <w:color w:val="000000" w:themeColor="text1"/>
          <w:sz w:val="22"/>
          <w:szCs w:val="22"/>
        </w:rPr>
        <w:t xml:space="preserve">, </w:t>
      </w:r>
      <w:r>
        <w:rPr>
          <w:color w:val="000000" w:themeColor="text1"/>
          <w:sz w:val="22"/>
          <w:szCs w:val="22"/>
        </w:rPr>
        <w:t>“</w:t>
      </w:r>
      <w:r w:rsidRPr="0062721E">
        <w:rPr>
          <w:sz w:val="22"/>
          <w:szCs w:val="22"/>
        </w:rPr>
        <w:t xml:space="preserve">High ratings in areas such as commitment to the profession, fairness, safety, respect, </w:t>
      </w:r>
      <w:r>
        <w:rPr>
          <w:sz w:val="22"/>
          <w:szCs w:val="22"/>
        </w:rPr>
        <w:t xml:space="preserve">and </w:t>
      </w:r>
      <w:r w:rsidRPr="0062721E">
        <w:rPr>
          <w:sz w:val="22"/>
          <w:szCs w:val="22"/>
        </w:rPr>
        <w:t>belief that all students can learn.</w:t>
      </w:r>
      <w:r>
        <w:rPr>
          <w:sz w:val="22"/>
          <w:szCs w:val="22"/>
        </w:rPr>
        <w:t>”</w:t>
      </w:r>
    </w:p>
    <w:p w14:paraId="2D69255C" w14:textId="77777777" w:rsidR="00405D20" w:rsidRPr="0062721E" w:rsidRDefault="00405D20" w:rsidP="00405D20">
      <w:pPr>
        <w:rPr>
          <w:sz w:val="22"/>
          <w:szCs w:val="22"/>
        </w:rPr>
      </w:pPr>
    </w:p>
    <w:p w14:paraId="35CAF70A" w14:textId="77777777" w:rsidR="00405D20" w:rsidRPr="00D653EB" w:rsidRDefault="00405D20" w:rsidP="00405D20">
      <w:pPr>
        <w:pStyle w:val="NormalWeb"/>
        <w:shd w:val="clear" w:color="auto" w:fill="FFFFFF"/>
        <w:spacing w:before="0" w:beforeAutospacing="0" w:after="240" w:afterAutospacing="0"/>
        <w:rPr>
          <w:bCs/>
          <w:color w:val="FF0000"/>
          <w:sz w:val="22"/>
          <w:szCs w:val="22"/>
        </w:rPr>
      </w:pPr>
      <w:r w:rsidRPr="00D653EB">
        <w:rPr>
          <w:bCs/>
          <w:sz w:val="22"/>
          <w:szCs w:val="22"/>
        </w:rPr>
        <w:t>Cooperating teacher ratings of student teachers</w:t>
      </w:r>
      <w:r>
        <w:rPr>
          <w:bCs/>
          <w:sz w:val="22"/>
          <w:szCs w:val="22"/>
        </w:rPr>
        <w:t>’ performance</w:t>
      </w:r>
      <w:r w:rsidRPr="00D653EB">
        <w:rPr>
          <w:bCs/>
          <w:sz w:val="22"/>
          <w:szCs w:val="22"/>
        </w:rPr>
        <w:t xml:space="preserve"> in areas related to professional learning and ethical practice</w:t>
      </w:r>
      <w:r>
        <w:rPr>
          <w:bCs/>
          <w:sz w:val="22"/>
          <w:szCs w:val="22"/>
        </w:rPr>
        <w:t xml:space="preserve"> indicate that teacher candidates are receptive to feedback, reflective, committed to lifelong learning, and applying professionalism. All four of the assessment items tagged to InTASC Standard 9 received mean score ratings of 3.50 or higher on a 4-point scale. The ratings from 495 cooperating teachers over a three-year time frame included the following mean scores:</w:t>
      </w:r>
      <w:r w:rsidRPr="00D653EB">
        <w:rPr>
          <w:bCs/>
          <w:sz w:val="22"/>
          <w:szCs w:val="22"/>
        </w:rPr>
        <w:t xml:space="preserve"> </w:t>
      </w:r>
      <w:r w:rsidRPr="006E2C95">
        <w:rPr>
          <w:bCs/>
          <w:i/>
          <w:iCs/>
          <w:sz w:val="22"/>
          <w:szCs w:val="22"/>
        </w:rPr>
        <w:t>Uses feedback to improve teaching effectiveness</w:t>
      </w:r>
      <w:r>
        <w:rPr>
          <w:bCs/>
          <w:sz w:val="22"/>
          <w:szCs w:val="22"/>
        </w:rPr>
        <w:t xml:space="preserve"> at </w:t>
      </w:r>
      <w:r w:rsidRPr="00D653EB">
        <w:rPr>
          <w:bCs/>
          <w:sz w:val="22"/>
          <w:szCs w:val="22"/>
        </w:rPr>
        <w:t>3.51</w:t>
      </w:r>
      <w:r>
        <w:rPr>
          <w:bCs/>
          <w:sz w:val="22"/>
          <w:szCs w:val="22"/>
        </w:rPr>
        <w:t xml:space="preserve"> on a four-point scale; </w:t>
      </w:r>
      <w:r w:rsidRPr="006E2C95">
        <w:rPr>
          <w:bCs/>
          <w:i/>
          <w:iCs/>
          <w:sz w:val="22"/>
          <w:szCs w:val="22"/>
        </w:rPr>
        <w:t>Use</w:t>
      </w:r>
      <w:r>
        <w:rPr>
          <w:bCs/>
          <w:i/>
          <w:iCs/>
          <w:sz w:val="22"/>
          <w:szCs w:val="22"/>
        </w:rPr>
        <w:t>s</w:t>
      </w:r>
      <w:r w:rsidRPr="006E2C95">
        <w:rPr>
          <w:bCs/>
          <w:i/>
          <w:iCs/>
          <w:sz w:val="22"/>
          <w:szCs w:val="22"/>
        </w:rPr>
        <w:t xml:space="preserve"> self-reflection to improve teaching effectiveness</w:t>
      </w:r>
      <w:r w:rsidRPr="00D653EB">
        <w:rPr>
          <w:bCs/>
          <w:sz w:val="22"/>
          <w:szCs w:val="22"/>
        </w:rPr>
        <w:t xml:space="preserve"> </w:t>
      </w:r>
      <w:r>
        <w:rPr>
          <w:bCs/>
          <w:sz w:val="22"/>
          <w:szCs w:val="22"/>
        </w:rPr>
        <w:t xml:space="preserve">at </w:t>
      </w:r>
      <w:r w:rsidRPr="00D653EB">
        <w:rPr>
          <w:bCs/>
          <w:sz w:val="22"/>
          <w:szCs w:val="22"/>
        </w:rPr>
        <w:t>3.51</w:t>
      </w:r>
      <w:r>
        <w:rPr>
          <w:bCs/>
          <w:sz w:val="22"/>
          <w:szCs w:val="22"/>
        </w:rPr>
        <w:t>;</w:t>
      </w:r>
      <w:r w:rsidRPr="00D653EB">
        <w:rPr>
          <w:bCs/>
          <w:sz w:val="22"/>
          <w:szCs w:val="22"/>
        </w:rPr>
        <w:t xml:space="preserve"> </w:t>
      </w:r>
      <w:r w:rsidRPr="006E2C95">
        <w:rPr>
          <w:bCs/>
          <w:i/>
          <w:iCs/>
          <w:sz w:val="22"/>
          <w:szCs w:val="22"/>
        </w:rPr>
        <w:t xml:space="preserve">Upholds legal responsibilities as a professional educator </w:t>
      </w:r>
      <w:r w:rsidRPr="006E2C95">
        <w:rPr>
          <w:bCs/>
          <w:sz w:val="22"/>
          <w:szCs w:val="22"/>
        </w:rPr>
        <w:t>at 3.</w:t>
      </w:r>
      <w:r w:rsidRPr="00D653EB">
        <w:rPr>
          <w:bCs/>
          <w:sz w:val="22"/>
          <w:szCs w:val="22"/>
        </w:rPr>
        <w:t>50</w:t>
      </w:r>
      <w:r>
        <w:rPr>
          <w:bCs/>
          <w:sz w:val="22"/>
          <w:szCs w:val="22"/>
        </w:rPr>
        <w:t xml:space="preserve">; and </w:t>
      </w:r>
      <w:r w:rsidRPr="006E2C95">
        <w:rPr>
          <w:bCs/>
          <w:i/>
          <w:iCs/>
          <w:sz w:val="22"/>
          <w:szCs w:val="22"/>
        </w:rPr>
        <w:t>Demonstrates commitment to the profession</w:t>
      </w:r>
      <w:r>
        <w:rPr>
          <w:bCs/>
          <w:sz w:val="22"/>
          <w:szCs w:val="22"/>
        </w:rPr>
        <w:t xml:space="preserve"> at</w:t>
      </w:r>
      <w:r w:rsidRPr="00D653EB">
        <w:rPr>
          <w:bCs/>
          <w:sz w:val="22"/>
          <w:szCs w:val="22"/>
        </w:rPr>
        <w:t xml:space="preserve"> 3.56</w:t>
      </w:r>
      <w:r>
        <w:rPr>
          <w:bCs/>
          <w:sz w:val="22"/>
          <w:szCs w:val="22"/>
        </w:rPr>
        <w:t xml:space="preserve">. The high mean score ratings from cooperating teachers provide evidence that support that teacher candidates have solid preparation in professional learning and ethical practice. </w:t>
      </w:r>
    </w:p>
    <w:p w14:paraId="46741273" w14:textId="77777777" w:rsidR="00405D20" w:rsidRDefault="00405D20" w:rsidP="00405D20">
      <w:pPr>
        <w:rPr>
          <w:color w:val="000000" w:themeColor="text1"/>
          <w:sz w:val="22"/>
          <w:szCs w:val="22"/>
        </w:rPr>
      </w:pPr>
      <w:r>
        <w:rPr>
          <w:color w:val="000000" w:themeColor="text1"/>
          <w:sz w:val="22"/>
          <w:szCs w:val="22"/>
        </w:rPr>
        <w:t>Employers of the EPP’s completers recorded high ratings in the area of professionalism in much</w:t>
      </w:r>
      <w:r w:rsidRPr="008B32FA">
        <w:rPr>
          <w:color w:val="000000" w:themeColor="text1"/>
          <w:sz w:val="22"/>
          <w:szCs w:val="22"/>
        </w:rPr>
        <w:t xml:space="preserve"> the same manner as the </w:t>
      </w:r>
      <w:r>
        <w:rPr>
          <w:color w:val="000000" w:themeColor="text1"/>
          <w:sz w:val="22"/>
          <w:szCs w:val="22"/>
        </w:rPr>
        <w:t xml:space="preserve">cooperating teachers and </w:t>
      </w:r>
      <w:r w:rsidRPr="008B32FA">
        <w:rPr>
          <w:color w:val="000000" w:themeColor="text1"/>
          <w:sz w:val="22"/>
          <w:szCs w:val="22"/>
        </w:rPr>
        <w:t>the completers</w:t>
      </w:r>
      <w:r>
        <w:rPr>
          <w:color w:val="000000" w:themeColor="text1"/>
          <w:sz w:val="22"/>
          <w:szCs w:val="22"/>
        </w:rPr>
        <w:t xml:space="preserve"> </w:t>
      </w:r>
      <w:r w:rsidRPr="0062721E">
        <w:rPr>
          <w:b/>
          <w:bCs/>
          <w:color w:val="000000" w:themeColor="text1"/>
          <w:sz w:val="22"/>
          <w:szCs w:val="22"/>
        </w:rPr>
        <w:t>(</w:t>
      </w:r>
      <w:hyperlink r:id="rId9" w:history="1">
        <w:r>
          <w:rPr>
            <w:rStyle w:val="Hyperlink"/>
            <w:sz w:val="22"/>
            <w:szCs w:val="22"/>
          </w:rPr>
          <w:t>Evidence for InTASC Standard 9 Evidence 9.1 pages 10-11</w:t>
        </w:r>
      </w:hyperlink>
      <w:r w:rsidRPr="0062721E">
        <w:rPr>
          <w:rStyle w:val="eop"/>
          <w:rFonts w:eastAsiaTheme="majorEastAsia"/>
          <w:color w:val="000000" w:themeColor="text1"/>
          <w:sz w:val="22"/>
          <w:szCs w:val="22"/>
          <w:shd w:val="clear" w:color="auto" w:fill="FFFFFF"/>
        </w:rPr>
        <w:t>)</w:t>
      </w:r>
      <w:r>
        <w:rPr>
          <w:color w:val="000000" w:themeColor="text1"/>
          <w:sz w:val="22"/>
          <w:szCs w:val="22"/>
        </w:rPr>
        <w:t xml:space="preserve">. </w:t>
      </w:r>
      <w:r w:rsidRPr="008B32FA">
        <w:rPr>
          <w:color w:val="000000" w:themeColor="text1"/>
          <w:sz w:val="22"/>
          <w:szCs w:val="22"/>
        </w:rPr>
        <w:t xml:space="preserve">The cumulative mean score ratings of </w:t>
      </w:r>
      <w:r>
        <w:rPr>
          <w:color w:val="000000" w:themeColor="text1"/>
          <w:sz w:val="22"/>
          <w:szCs w:val="22"/>
        </w:rPr>
        <w:t xml:space="preserve">employers of the EPP’s first-year teachers were at </w:t>
      </w:r>
      <w:r w:rsidRPr="008B32FA">
        <w:rPr>
          <w:color w:val="000000" w:themeColor="text1"/>
          <w:sz w:val="22"/>
          <w:szCs w:val="22"/>
        </w:rPr>
        <w:t>3.</w:t>
      </w:r>
      <w:r>
        <w:rPr>
          <w:color w:val="000000" w:themeColor="text1"/>
          <w:sz w:val="22"/>
          <w:szCs w:val="22"/>
        </w:rPr>
        <w:t>60</w:t>
      </w:r>
      <w:r w:rsidRPr="008B32FA">
        <w:rPr>
          <w:color w:val="000000" w:themeColor="text1"/>
          <w:sz w:val="22"/>
          <w:szCs w:val="22"/>
        </w:rPr>
        <w:t xml:space="preserve"> or higher</w:t>
      </w:r>
      <w:r>
        <w:rPr>
          <w:color w:val="000000" w:themeColor="text1"/>
          <w:sz w:val="22"/>
          <w:szCs w:val="22"/>
        </w:rPr>
        <w:t xml:space="preserve"> on a 4-point scale </w:t>
      </w:r>
      <w:r w:rsidRPr="008B32FA">
        <w:rPr>
          <w:color w:val="000000" w:themeColor="text1"/>
          <w:sz w:val="22"/>
          <w:szCs w:val="22"/>
        </w:rPr>
        <w:t xml:space="preserve">with </w:t>
      </w:r>
      <w:r>
        <w:rPr>
          <w:color w:val="000000" w:themeColor="text1"/>
          <w:sz w:val="22"/>
          <w:szCs w:val="22"/>
        </w:rPr>
        <w:t xml:space="preserve">a rating of </w:t>
      </w:r>
      <w:r w:rsidRPr="008B32FA">
        <w:rPr>
          <w:color w:val="000000" w:themeColor="text1"/>
          <w:sz w:val="22"/>
          <w:szCs w:val="22"/>
        </w:rPr>
        <w:t xml:space="preserve">3.00 representing the </w:t>
      </w:r>
      <w:r>
        <w:rPr>
          <w:color w:val="000000" w:themeColor="text1"/>
          <w:sz w:val="22"/>
          <w:szCs w:val="22"/>
        </w:rPr>
        <w:t>“T</w:t>
      </w:r>
      <w:r w:rsidRPr="008B32FA">
        <w:rPr>
          <w:color w:val="000000" w:themeColor="text1"/>
          <w:sz w:val="22"/>
          <w:szCs w:val="22"/>
        </w:rPr>
        <w:t>end to</w:t>
      </w:r>
      <w:r>
        <w:rPr>
          <w:color w:val="000000" w:themeColor="text1"/>
          <w:sz w:val="22"/>
          <w:szCs w:val="22"/>
        </w:rPr>
        <w:t xml:space="preserve"> A</w:t>
      </w:r>
      <w:r w:rsidRPr="008B32FA">
        <w:rPr>
          <w:color w:val="000000" w:themeColor="text1"/>
          <w:sz w:val="22"/>
          <w:szCs w:val="22"/>
        </w:rPr>
        <w:t>gree</w:t>
      </w:r>
      <w:r>
        <w:rPr>
          <w:color w:val="000000" w:themeColor="text1"/>
          <w:sz w:val="22"/>
          <w:szCs w:val="22"/>
        </w:rPr>
        <w:t>”</w:t>
      </w:r>
      <w:r w:rsidRPr="008B32FA">
        <w:rPr>
          <w:color w:val="000000" w:themeColor="text1"/>
          <w:sz w:val="22"/>
          <w:szCs w:val="22"/>
        </w:rPr>
        <w:t xml:space="preserve"> level </w:t>
      </w:r>
      <w:r>
        <w:rPr>
          <w:color w:val="000000" w:themeColor="text1"/>
          <w:sz w:val="22"/>
          <w:szCs w:val="22"/>
        </w:rPr>
        <w:t>and a 4.00 representing “Agree”</w:t>
      </w:r>
      <w:r w:rsidRPr="008B32FA">
        <w:rPr>
          <w:color w:val="000000" w:themeColor="text1"/>
          <w:sz w:val="22"/>
          <w:szCs w:val="22"/>
        </w:rPr>
        <w:t xml:space="preserve">. </w:t>
      </w:r>
      <w:r>
        <w:rPr>
          <w:color w:val="000000" w:themeColor="text1"/>
          <w:sz w:val="22"/>
          <w:szCs w:val="22"/>
        </w:rPr>
        <w:t xml:space="preserve">The assessment item </w:t>
      </w:r>
      <w:r w:rsidRPr="006E2C95">
        <w:rPr>
          <w:i/>
          <w:iCs/>
          <w:color w:val="000000" w:themeColor="text1"/>
          <w:sz w:val="22"/>
          <w:szCs w:val="22"/>
        </w:rPr>
        <w:t>Acts as an advocate for all students</w:t>
      </w:r>
      <w:r w:rsidRPr="008B32FA">
        <w:rPr>
          <w:color w:val="000000" w:themeColor="text1"/>
          <w:sz w:val="22"/>
          <w:szCs w:val="22"/>
        </w:rPr>
        <w:t xml:space="preserve"> </w:t>
      </w:r>
      <w:r>
        <w:rPr>
          <w:color w:val="000000" w:themeColor="text1"/>
          <w:sz w:val="22"/>
          <w:szCs w:val="22"/>
        </w:rPr>
        <w:t xml:space="preserve">had </w:t>
      </w:r>
      <w:r w:rsidRPr="008B32FA">
        <w:rPr>
          <w:color w:val="000000" w:themeColor="text1"/>
          <w:sz w:val="22"/>
          <w:szCs w:val="22"/>
        </w:rPr>
        <w:t>a mean score of 3.7</w:t>
      </w:r>
      <w:r>
        <w:rPr>
          <w:color w:val="000000" w:themeColor="text1"/>
          <w:sz w:val="22"/>
          <w:szCs w:val="22"/>
        </w:rPr>
        <w:t>5</w:t>
      </w:r>
      <w:r w:rsidRPr="008B32FA">
        <w:rPr>
          <w:color w:val="000000" w:themeColor="text1"/>
          <w:sz w:val="22"/>
          <w:szCs w:val="22"/>
        </w:rPr>
        <w:t xml:space="preserve"> on a 4-point scale and </w:t>
      </w:r>
      <w:r w:rsidRPr="006E2C95">
        <w:rPr>
          <w:i/>
          <w:iCs/>
          <w:color w:val="000000" w:themeColor="text1"/>
          <w:sz w:val="22"/>
          <w:szCs w:val="22"/>
        </w:rPr>
        <w:t>Upholds laws related to student rights and teacher responsibility</w:t>
      </w:r>
      <w:r w:rsidRPr="008B32FA">
        <w:rPr>
          <w:color w:val="000000" w:themeColor="text1"/>
          <w:sz w:val="22"/>
          <w:szCs w:val="22"/>
        </w:rPr>
        <w:t xml:space="preserve"> </w:t>
      </w:r>
      <w:r>
        <w:rPr>
          <w:color w:val="000000" w:themeColor="text1"/>
          <w:sz w:val="22"/>
          <w:szCs w:val="22"/>
        </w:rPr>
        <w:t>had</w:t>
      </w:r>
      <w:r w:rsidRPr="008B32FA">
        <w:rPr>
          <w:color w:val="000000" w:themeColor="text1"/>
          <w:sz w:val="22"/>
          <w:szCs w:val="22"/>
        </w:rPr>
        <w:t xml:space="preserve"> a mean score of 3.</w:t>
      </w:r>
      <w:r>
        <w:rPr>
          <w:color w:val="000000" w:themeColor="text1"/>
          <w:sz w:val="22"/>
          <w:szCs w:val="22"/>
        </w:rPr>
        <w:t>79</w:t>
      </w:r>
      <w:r w:rsidRPr="008B32FA">
        <w:rPr>
          <w:color w:val="000000" w:themeColor="text1"/>
          <w:sz w:val="22"/>
          <w:szCs w:val="22"/>
        </w:rPr>
        <w:t>.  The item</w:t>
      </w:r>
      <w:r>
        <w:rPr>
          <w:color w:val="000000" w:themeColor="text1"/>
          <w:sz w:val="22"/>
          <w:szCs w:val="22"/>
        </w:rPr>
        <w:t xml:space="preserve"> </w:t>
      </w:r>
      <w:r w:rsidRPr="006E2C95">
        <w:rPr>
          <w:i/>
          <w:iCs/>
          <w:color w:val="000000" w:themeColor="text1"/>
          <w:sz w:val="22"/>
          <w:szCs w:val="22"/>
        </w:rPr>
        <w:t>Uses colleague feedback to support development as a teacher</w:t>
      </w:r>
      <w:r>
        <w:rPr>
          <w:color w:val="000000" w:themeColor="text1"/>
          <w:sz w:val="22"/>
          <w:szCs w:val="22"/>
        </w:rPr>
        <w:t xml:space="preserve"> </w:t>
      </w:r>
      <w:r w:rsidRPr="008B32FA">
        <w:rPr>
          <w:color w:val="000000" w:themeColor="text1"/>
          <w:sz w:val="22"/>
          <w:szCs w:val="22"/>
        </w:rPr>
        <w:t xml:space="preserve">was also </w:t>
      </w:r>
      <w:r>
        <w:rPr>
          <w:color w:val="000000" w:themeColor="text1"/>
          <w:sz w:val="22"/>
          <w:szCs w:val="22"/>
        </w:rPr>
        <w:t xml:space="preserve">rated </w:t>
      </w:r>
      <w:r w:rsidRPr="008B32FA">
        <w:rPr>
          <w:color w:val="000000" w:themeColor="text1"/>
          <w:sz w:val="22"/>
          <w:szCs w:val="22"/>
        </w:rPr>
        <w:t>very high with a mean score rating of 3.</w:t>
      </w:r>
      <w:r>
        <w:rPr>
          <w:color w:val="000000" w:themeColor="text1"/>
          <w:sz w:val="22"/>
          <w:szCs w:val="22"/>
        </w:rPr>
        <w:t>70</w:t>
      </w:r>
      <w:r w:rsidRPr="008B32FA">
        <w:rPr>
          <w:color w:val="000000" w:themeColor="text1"/>
          <w:sz w:val="22"/>
          <w:szCs w:val="22"/>
        </w:rPr>
        <w:t>.</w:t>
      </w:r>
      <w:r>
        <w:rPr>
          <w:color w:val="000000" w:themeColor="text1"/>
          <w:sz w:val="22"/>
          <w:szCs w:val="22"/>
        </w:rPr>
        <w:t xml:space="preserve"> The high ratings from cooperating teachers and employers of the EPP’s first-year teachers are encouraging and positive.</w:t>
      </w:r>
    </w:p>
    <w:p w14:paraId="6DF49B1E" w14:textId="77777777" w:rsidR="00405D20" w:rsidRDefault="00405D20" w:rsidP="00405D20">
      <w:pPr>
        <w:pStyle w:val="NormalWeb"/>
        <w:shd w:val="clear" w:color="auto" w:fill="FFFFFF"/>
        <w:spacing w:before="0" w:beforeAutospacing="0" w:after="0" w:afterAutospacing="0"/>
        <w:rPr>
          <w:color w:val="FF0000"/>
          <w:sz w:val="22"/>
          <w:szCs w:val="22"/>
        </w:rPr>
      </w:pPr>
    </w:p>
    <w:p w14:paraId="5BEFC9D4" w14:textId="77777777" w:rsidR="00405D20" w:rsidRPr="002B249D" w:rsidRDefault="00405D20" w:rsidP="00405D20">
      <w:pPr>
        <w:pStyle w:val="NormalWeb"/>
        <w:shd w:val="clear" w:color="auto" w:fill="FFFFFF"/>
        <w:spacing w:before="0" w:beforeAutospacing="0" w:after="0" w:afterAutospacing="0"/>
        <w:rPr>
          <w:color w:val="000000" w:themeColor="text1"/>
          <w:sz w:val="22"/>
          <w:szCs w:val="22"/>
        </w:rPr>
      </w:pPr>
      <w:r w:rsidRPr="0062721E">
        <w:rPr>
          <w:color w:val="000000" w:themeColor="text1"/>
          <w:sz w:val="22"/>
          <w:szCs w:val="22"/>
        </w:rPr>
        <w:t xml:space="preserve">The </w:t>
      </w:r>
      <w:r>
        <w:rPr>
          <w:color w:val="000000" w:themeColor="text1"/>
          <w:sz w:val="22"/>
          <w:szCs w:val="22"/>
        </w:rPr>
        <w:t xml:space="preserve">EPP’s </w:t>
      </w:r>
      <w:r w:rsidRPr="0062721E">
        <w:rPr>
          <w:color w:val="000000" w:themeColor="text1"/>
          <w:sz w:val="22"/>
          <w:szCs w:val="22"/>
        </w:rPr>
        <w:t>professional education sequence</w:t>
      </w:r>
      <w:r>
        <w:rPr>
          <w:color w:val="000000" w:themeColor="text1"/>
          <w:sz w:val="22"/>
          <w:szCs w:val="22"/>
        </w:rPr>
        <w:t xml:space="preserve"> has</w:t>
      </w:r>
      <w:r w:rsidRPr="0062721E">
        <w:rPr>
          <w:color w:val="000000" w:themeColor="text1"/>
          <w:sz w:val="22"/>
          <w:szCs w:val="22"/>
        </w:rPr>
        <w:t xml:space="preserve"> designed </w:t>
      </w:r>
      <w:r>
        <w:rPr>
          <w:color w:val="000000" w:themeColor="text1"/>
          <w:sz w:val="22"/>
          <w:szCs w:val="22"/>
        </w:rPr>
        <w:t xml:space="preserve">its curriculum to provide </w:t>
      </w:r>
      <w:r w:rsidRPr="0062721E">
        <w:rPr>
          <w:color w:val="000000" w:themeColor="text1"/>
          <w:sz w:val="22"/>
          <w:szCs w:val="22"/>
        </w:rPr>
        <w:t xml:space="preserve">teacher candidates </w:t>
      </w:r>
      <w:r>
        <w:rPr>
          <w:color w:val="000000" w:themeColor="text1"/>
          <w:sz w:val="22"/>
          <w:szCs w:val="22"/>
        </w:rPr>
        <w:t xml:space="preserve">with </w:t>
      </w:r>
      <w:r w:rsidRPr="0062721E">
        <w:rPr>
          <w:color w:val="000000" w:themeColor="text1"/>
          <w:sz w:val="22"/>
          <w:szCs w:val="22"/>
        </w:rPr>
        <w:t>an understanding of the importance and significance of professional learning and ethical practice during their professional careers. </w:t>
      </w:r>
      <w:r>
        <w:rPr>
          <w:color w:val="000000" w:themeColor="text1"/>
          <w:sz w:val="22"/>
          <w:szCs w:val="22"/>
        </w:rPr>
        <w:t>T</w:t>
      </w:r>
      <w:r w:rsidRPr="0062721E">
        <w:rPr>
          <w:color w:val="000000" w:themeColor="text1"/>
          <w:sz w:val="22"/>
          <w:szCs w:val="22"/>
        </w:rPr>
        <w:t xml:space="preserve">eacher candidates learn about professionalism, legal issues in teacher education, and ethics </w:t>
      </w:r>
      <w:r>
        <w:rPr>
          <w:color w:val="000000" w:themeColor="text1"/>
          <w:sz w:val="22"/>
          <w:szCs w:val="22"/>
        </w:rPr>
        <w:t xml:space="preserve">in EDUC 250 Introduction to Education </w:t>
      </w:r>
      <w:r w:rsidRPr="0062721E">
        <w:rPr>
          <w:color w:val="000000" w:themeColor="text1"/>
          <w:sz w:val="22"/>
          <w:szCs w:val="22"/>
        </w:rPr>
        <w:t>(</w:t>
      </w:r>
      <w:hyperlink r:id="rId10" w:history="1">
        <w:r w:rsidRPr="0062721E">
          <w:rPr>
            <w:rStyle w:val="Hyperlink"/>
            <w:sz w:val="22"/>
            <w:szCs w:val="22"/>
          </w:rPr>
          <w:t>Evidence 2 Model Code of Ethics for Educators</w:t>
        </w:r>
      </w:hyperlink>
      <w:r w:rsidRPr="0062721E">
        <w:rPr>
          <w:color w:val="000000" w:themeColor="text1"/>
          <w:sz w:val="22"/>
          <w:szCs w:val="22"/>
        </w:rPr>
        <w:t xml:space="preserve"> and the </w:t>
      </w:r>
      <w:hyperlink r:id="rId11" w:history="1">
        <w:r>
          <w:rPr>
            <w:rStyle w:val="Hyperlink"/>
            <w:sz w:val="22"/>
            <w:szCs w:val="22"/>
          </w:rPr>
          <w:t>Evidence 4 Code of Ethics in the ND Administrative Rules</w:t>
        </w:r>
      </w:hyperlink>
      <w:r w:rsidRPr="0062721E">
        <w:rPr>
          <w:color w:val="000000" w:themeColor="text1"/>
          <w:sz w:val="22"/>
          <w:szCs w:val="22"/>
        </w:rPr>
        <w:t>).</w:t>
      </w:r>
      <w:r w:rsidRPr="002B249D">
        <w:rPr>
          <w:color w:val="000000" w:themeColor="text1"/>
          <w:sz w:val="22"/>
          <w:szCs w:val="22"/>
        </w:rPr>
        <w:t xml:space="preserve"> </w:t>
      </w:r>
      <w:r>
        <w:rPr>
          <w:color w:val="000000" w:themeColor="text1"/>
          <w:sz w:val="22"/>
          <w:szCs w:val="22"/>
        </w:rPr>
        <w:t xml:space="preserve">Throughout the program, the teacher candidates learn about professional journals, current issues in education, and professional </w:t>
      </w:r>
      <w:r>
        <w:rPr>
          <w:color w:val="000000" w:themeColor="text1"/>
          <w:sz w:val="22"/>
          <w:szCs w:val="22"/>
        </w:rPr>
        <w:lastRenderedPageBreak/>
        <w:t>organizations such as Student North Dakota United (</w:t>
      </w:r>
      <w:hyperlink r:id="rId12" w:history="1">
        <w:r>
          <w:rPr>
            <w:rStyle w:val="Hyperlink"/>
            <w:sz w:val="22"/>
            <w:szCs w:val="22"/>
          </w:rPr>
          <w:t>Evidence 4 VCSU student organization for SNDU</w:t>
        </w:r>
      </w:hyperlink>
      <w:r>
        <w:rPr>
          <w:color w:val="000000" w:themeColor="text1"/>
          <w:sz w:val="22"/>
          <w:szCs w:val="22"/>
        </w:rPr>
        <w:t xml:space="preserve">). Candidates learn about professional dispositions for educators and complete background checks as part of their preparation for field experiences. </w:t>
      </w:r>
      <w:r w:rsidRPr="002B249D">
        <w:rPr>
          <w:color w:val="000000" w:themeColor="text1"/>
          <w:sz w:val="22"/>
          <w:szCs w:val="22"/>
        </w:rPr>
        <w:t>The</w:t>
      </w:r>
      <w:r>
        <w:rPr>
          <w:color w:val="000000" w:themeColor="text1"/>
          <w:sz w:val="22"/>
          <w:szCs w:val="22"/>
        </w:rPr>
        <w:t xml:space="preserve"> </w:t>
      </w:r>
      <w:r w:rsidRPr="002B249D">
        <w:rPr>
          <w:color w:val="000000" w:themeColor="text1"/>
          <w:sz w:val="22"/>
          <w:szCs w:val="22"/>
        </w:rPr>
        <w:t xml:space="preserve">professional education sequence courses provide teacher candidates with opportunities to learn from research, theory, and guidance from faculty who have P-12 classroom teaching experience. </w:t>
      </w:r>
    </w:p>
    <w:p w14:paraId="191EB4A4" w14:textId="77777777" w:rsidR="00405D20" w:rsidRPr="002B249D" w:rsidRDefault="00405D20" w:rsidP="00405D20">
      <w:pPr>
        <w:pStyle w:val="NormalWeb"/>
        <w:shd w:val="clear" w:color="auto" w:fill="FFFFFF"/>
        <w:spacing w:before="0" w:beforeAutospacing="0" w:after="0" w:afterAutospacing="0"/>
        <w:rPr>
          <w:color w:val="000000" w:themeColor="text1"/>
          <w:sz w:val="22"/>
          <w:szCs w:val="22"/>
        </w:rPr>
      </w:pPr>
    </w:p>
    <w:p w14:paraId="4A04BD43" w14:textId="77777777" w:rsidR="00405D20" w:rsidRDefault="00405D20" w:rsidP="00405D20">
      <w:pPr>
        <w:pStyle w:val="NormalWeb"/>
        <w:shd w:val="clear" w:color="auto" w:fill="FFFFFF"/>
        <w:spacing w:before="0" w:beforeAutospacing="0" w:after="0" w:afterAutospacing="0"/>
        <w:rPr>
          <w:color w:val="000000" w:themeColor="text1"/>
          <w:sz w:val="22"/>
          <w:szCs w:val="22"/>
        </w:rPr>
      </w:pPr>
      <w:r w:rsidRPr="002B249D">
        <w:rPr>
          <w:color w:val="000000" w:themeColor="text1"/>
          <w:sz w:val="22"/>
          <w:szCs w:val="22"/>
        </w:rPr>
        <w:t xml:space="preserve">The early field experiences and student teaching affords teacher candidates the opportunity to apply what they have learned in a classroom setting. Classroom instruction moves toward practical application in the field experience setting through progressive opportunities in EDUC 250 Introduction to Education through EDUC 352 Culturally Diverse Practicum, then 350 or 351 Elementary or Secondary Practicum and Classroom Management, and finally into EDUC 480/490 Student Teaching. The faculty </w:t>
      </w:r>
      <w:r>
        <w:rPr>
          <w:color w:val="000000" w:themeColor="text1"/>
          <w:sz w:val="22"/>
          <w:szCs w:val="22"/>
        </w:rPr>
        <w:t xml:space="preserve">members </w:t>
      </w:r>
      <w:r w:rsidRPr="002B249D">
        <w:rPr>
          <w:color w:val="000000" w:themeColor="text1"/>
          <w:sz w:val="22"/>
          <w:szCs w:val="22"/>
        </w:rPr>
        <w:t xml:space="preserve">who arrange placements and </w:t>
      </w:r>
      <w:r>
        <w:rPr>
          <w:color w:val="000000" w:themeColor="text1"/>
          <w:sz w:val="22"/>
          <w:szCs w:val="22"/>
        </w:rPr>
        <w:t xml:space="preserve">those who </w:t>
      </w:r>
      <w:r w:rsidRPr="002B249D">
        <w:rPr>
          <w:color w:val="000000" w:themeColor="text1"/>
          <w:sz w:val="22"/>
          <w:szCs w:val="22"/>
        </w:rPr>
        <w:t>mentor teacher candidates in field experience have a tremendous amount of P-12 experience and high expectations for professionalism. Teacher candidates gain an understanding that each school, classroom, and student is different and requires multiple strategies on a day-to-day basis. Additional faculty members involved in supervision are consistently emphasizing and reminding candidates about professionalism and reflective practice for lifelong learning</w:t>
      </w:r>
      <w:r>
        <w:rPr>
          <w:color w:val="000000" w:themeColor="text1"/>
          <w:sz w:val="22"/>
          <w:szCs w:val="22"/>
        </w:rPr>
        <w:t xml:space="preserve"> (</w:t>
      </w:r>
      <w:hyperlink r:id="rId13" w:history="1">
        <w:r w:rsidRPr="00690AA3">
          <w:rPr>
            <w:rStyle w:val="Hyperlink"/>
            <w:sz w:val="22"/>
            <w:szCs w:val="22"/>
          </w:rPr>
          <w:t>Evidence 5 teacher candidate reflection sample</w:t>
        </w:r>
      </w:hyperlink>
      <w:r>
        <w:rPr>
          <w:color w:val="000000" w:themeColor="text1"/>
          <w:sz w:val="22"/>
          <w:szCs w:val="22"/>
        </w:rPr>
        <w:t xml:space="preserve"> and </w:t>
      </w:r>
      <w:hyperlink r:id="rId14" w:history="1">
        <w:r w:rsidRPr="00690AA3">
          <w:rPr>
            <w:rStyle w:val="Hyperlink"/>
            <w:sz w:val="22"/>
            <w:szCs w:val="22"/>
          </w:rPr>
          <w:t>Evidence 6 another candidate reflection sample</w:t>
        </w:r>
      </w:hyperlink>
      <w:r>
        <w:rPr>
          <w:color w:val="000000" w:themeColor="text1"/>
          <w:sz w:val="22"/>
          <w:szCs w:val="22"/>
        </w:rPr>
        <w:t>)</w:t>
      </w:r>
      <w:r w:rsidRPr="002B249D">
        <w:rPr>
          <w:color w:val="000000" w:themeColor="text1"/>
          <w:sz w:val="22"/>
          <w:szCs w:val="22"/>
        </w:rPr>
        <w:t>.</w:t>
      </w:r>
    </w:p>
    <w:p w14:paraId="32DD8A55" w14:textId="77777777" w:rsidR="00405D20" w:rsidRDefault="00405D20" w:rsidP="00405D20">
      <w:pPr>
        <w:pStyle w:val="NormalWeb"/>
        <w:shd w:val="clear" w:color="auto" w:fill="FFFFFF"/>
        <w:spacing w:before="0" w:beforeAutospacing="0" w:after="0" w:afterAutospacing="0"/>
        <w:rPr>
          <w:color w:val="000000" w:themeColor="text1"/>
          <w:sz w:val="22"/>
          <w:szCs w:val="22"/>
        </w:rPr>
      </w:pPr>
    </w:p>
    <w:p w14:paraId="7810B44B" w14:textId="77777777" w:rsidR="00405D20" w:rsidRPr="003B587D" w:rsidRDefault="00405D20" w:rsidP="00405D20">
      <w:pPr>
        <w:pStyle w:val="NormalWeb"/>
        <w:shd w:val="clear" w:color="auto" w:fill="FFFFFF"/>
        <w:spacing w:before="0" w:beforeAutospacing="0" w:after="240" w:afterAutospacing="0"/>
        <w:rPr>
          <w:color w:val="000000" w:themeColor="text1"/>
          <w:sz w:val="22"/>
          <w:szCs w:val="22"/>
        </w:rPr>
      </w:pPr>
      <w:r w:rsidRPr="002B249D">
        <w:rPr>
          <w:color w:val="000000" w:themeColor="text1"/>
          <w:sz w:val="22"/>
          <w:szCs w:val="22"/>
        </w:rPr>
        <w:t>The disposition items related to InTASC Standard 9 that are assessed include</w:t>
      </w:r>
      <w:r>
        <w:rPr>
          <w:color w:val="000000" w:themeColor="text1"/>
          <w:sz w:val="22"/>
          <w:szCs w:val="22"/>
        </w:rPr>
        <w:t xml:space="preserve"> m</w:t>
      </w:r>
      <w:r w:rsidRPr="002B249D">
        <w:rPr>
          <w:color w:val="000000" w:themeColor="text1"/>
          <w:sz w:val="22"/>
          <w:szCs w:val="22"/>
        </w:rPr>
        <w:t>aintain</w:t>
      </w:r>
      <w:r>
        <w:rPr>
          <w:color w:val="000000" w:themeColor="text1"/>
          <w:sz w:val="22"/>
          <w:szCs w:val="22"/>
        </w:rPr>
        <w:t>ing</w:t>
      </w:r>
      <w:r w:rsidRPr="002B249D">
        <w:rPr>
          <w:color w:val="000000" w:themeColor="text1"/>
          <w:sz w:val="22"/>
          <w:szCs w:val="22"/>
        </w:rPr>
        <w:t xml:space="preserve"> a positive attitude in professional settings, </w:t>
      </w:r>
      <w:r>
        <w:rPr>
          <w:color w:val="000000" w:themeColor="text1"/>
          <w:sz w:val="22"/>
          <w:szCs w:val="22"/>
        </w:rPr>
        <w:t>c</w:t>
      </w:r>
      <w:r w:rsidRPr="002B249D">
        <w:rPr>
          <w:color w:val="000000" w:themeColor="text1"/>
          <w:sz w:val="22"/>
          <w:szCs w:val="22"/>
        </w:rPr>
        <w:t>ommit</w:t>
      </w:r>
      <w:r>
        <w:rPr>
          <w:color w:val="000000" w:themeColor="text1"/>
          <w:sz w:val="22"/>
          <w:szCs w:val="22"/>
        </w:rPr>
        <w:t>ting</w:t>
      </w:r>
      <w:r w:rsidRPr="002B249D">
        <w:rPr>
          <w:color w:val="000000" w:themeColor="text1"/>
          <w:sz w:val="22"/>
          <w:szCs w:val="22"/>
        </w:rPr>
        <w:t xml:space="preserve"> to professional appearance in dress and grooming, </w:t>
      </w:r>
      <w:r>
        <w:rPr>
          <w:color w:val="000000" w:themeColor="text1"/>
          <w:sz w:val="22"/>
          <w:szCs w:val="22"/>
        </w:rPr>
        <w:t>c</w:t>
      </w:r>
      <w:r w:rsidRPr="002B249D">
        <w:rPr>
          <w:color w:val="000000" w:themeColor="text1"/>
          <w:sz w:val="22"/>
          <w:szCs w:val="22"/>
        </w:rPr>
        <w:t>ommit</w:t>
      </w:r>
      <w:r>
        <w:rPr>
          <w:color w:val="000000" w:themeColor="text1"/>
          <w:sz w:val="22"/>
          <w:szCs w:val="22"/>
        </w:rPr>
        <w:t>ting</w:t>
      </w:r>
      <w:r w:rsidRPr="002B249D">
        <w:rPr>
          <w:color w:val="000000" w:themeColor="text1"/>
          <w:sz w:val="22"/>
          <w:szCs w:val="22"/>
        </w:rPr>
        <w:t xml:space="preserve"> to upholding the role of educator in all legal/ethical ways, </w:t>
      </w:r>
      <w:r>
        <w:rPr>
          <w:color w:val="000000" w:themeColor="text1"/>
          <w:sz w:val="22"/>
          <w:szCs w:val="22"/>
        </w:rPr>
        <w:t>va</w:t>
      </w:r>
      <w:r w:rsidRPr="002B249D">
        <w:rPr>
          <w:color w:val="000000" w:themeColor="text1"/>
          <w:sz w:val="22"/>
          <w:szCs w:val="22"/>
        </w:rPr>
        <w:t>lu</w:t>
      </w:r>
      <w:r>
        <w:rPr>
          <w:color w:val="000000" w:themeColor="text1"/>
          <w:sz w:val="22"/>
          <w:szCs w:val="22"/>
        </w:rPr>
        <w:t>ing</w:t>
      </w:r>
      <w:r w:rsidRPr="002B249D">
        <w:rPr>
          <w:color w:val="000000" w:themeColor="text1"/>
          <w:sz w:val="22"/>
          <w:szCs w:val="22"/>
        </w:rPr>
        <w:t xml:space="preserve"> appropriate interpersonal relationships in all settings, </w:t>
      </w:r>
      <w:r>
        <w:rPr>
          <w:color w:val="000000" w:themeColor="text1"/>
          <w:sz w:val="22"/>
          <w:szCs w:val="22"/>
        </w:rPr>
        <w:t>being</w:t>
      </w:r>
      <w:r w:rsidRPr="002B249D">
        <w:rPr>
          <w:color w:val="000000" w:themeColor="text1"/>
          <w:sz w:val="22"/>
          <w:szCs w:val="22"/>
        </w:rPr>
        <w:t xml:space="preserve"> dependable</w:t>
      </w:r>
      <w:r>
        <w:rPr>
          <w:color w:val="000000" w:themeColor="text1"/>
          <w:sz w:val="22"/>
          <w:szCs w:val="22"/>
        </w:rPr>
        <w:t xml:space="preserve">, </w:t>
      </w:r>
      <w:r w:rsidRPr="002B249D">
        <w:rPr>
          <w:color w:val="000000" w:themeColor="text1"/>
          <w:sz w:val="22"/>
          <w:szCs w:val="22"/>
        </w:rPr>
        <w:t xml:space="preserve">prepared, </w:t>
      </w:r>
      <w:r>
        <w:rPr>
          <w:color w:val="000000" w:themeColor="text1"/>
          <w:sz w:val="22"/>
          <w:szCs w:val="22"/>
        </w:rPr>
        <w:t xml:space="preserve">and </w:t>
      </w:r>
      <w:r w:rsidRPr="002B249D">
        <w:rPr>
          <w:color w:val="000000" w:themeColor="text1"/>
          <w:sz w:val="22"/>
          <w:szCs w:val="22"/>
        </w:rPr>
        <w:t xml:space="preserve">on time, and </w:t>
      </w:r>
      <w:r>
        <w:rPr>
          <w:color w:val="000000" w:themeColor="text1"/>
          <w:sz w:val="22"/>
          <w:szCs w:val="22"/>
        </w:rPr>
        <w:t>a</w:t>
      </w:r>
      <w:r w:rsidRPr="002B249D">
        <w:rPr>
          <w:color w:val="000000" w:themeColor="text1"/>
          <w:sz w:val="22"/>
          <w:szCs w:val="22"/>
        </w:rPr>
        <w:t>ccept</w:t>
      </w:r>
      <w:r>
        <w:rPr>
          <w:color w:val="000000" w:themeColor="text1"/>
          <w:sz w:val="22"/>
          <w:szCs w:val="22"/>
        </w:rPr>
        <w:t>ing</w:t>
      </w:r>
      <w:r w:rsidRPr="002B249D">
        <w:rPr>
          <w:color w:val="000000" w:themeColor="text1"/>
          <w:sz w:val="22"/>
          <w:szCs w:val="22"/>
        </w:rPr>
        <w:t xml:space="preserve"> responsibility for personal actions and behaviors. The ratings from cooperating teachers are </w:t>
      </w:r>
      <w:r>
        <w:rPr>
          <w:color w:val="000000" w:themeColor="text1"/>
          <w:sz w:val="22"/>
          <w:szCs w:val="22"/>
        </w:rPr>
        <w:t xml:space="preserve">positive and always worth striving for as close to perfection as possible </w:t>
      </w:r>
      <w:r w:rsidRPr="0062721E">
        <w:rPr>
          <w:b/>
          <w:bCs/>
          <w:color w:val="000000" w:themeColor="text1"/>
          <w:sz w:val="22"/>
          <w:szCs w:val="22"/>
        </w:rPr>
        <w:t>(</w:t>
      </w:r>
      <w:hyperlink r:id="rId15" w:history="1">
        <w:r>
          <w:rPr>
            <w:rStyle w:val="Hyperlink"/>
            <w:sz w:val="22"/>
            <w:szCs w:val="22"/>
          </w:rPr>
          <w:t>Evidence for InTASC Standard 9 Evidence 9.1 on page 6</w:t>
        </w:r>
      </w:hyperlink>
      <w:r w:rsidRPr="0062721E">
        <w:rPr>
          <w:rStyle w:val="eop"/>
          <w:rFonts w:eastAsiaTheme="majorEastAsia"/>
          <w:color w:val="000000" w:themeColor="text1"/>
          <w:sz w:val="22"/>
          <w:szCs w:val="22"/>
          <w:shd w:val="clear" w:color="auto" w:fill="FFFFFF"/>
        </w:rPr>
        <w:t>).</w:t>
      </w:r>
    </w:p>
    <w:p w14:paraId="33E1A426" w14:textId="77777777" w:rsidR="00405D20" w:rsidRDefault="00405D20" w:rsidP="00405D20">
      <w:pPr>
        <w:pStyle w:val="NormalWeb"/>
        <w:shd w:val="clear" w:color="auto" w:fill="FFFFFF"/>
        <w:spacing w:before="0" w:beforeAutospacing="0" w:after="240" w:afterAutospacing="0"/>
        <w:rPr>
          <w:color w:val="000000" w:themeColor="text1"/>
          <w:sz w:val="22"/>
          <w:szCs w:val="22"/>
        </w:rPr>
      </w:pPr>
      <w:r w:rsidRPr="00BF5362">
        <w:rPr>
          <w:color w:val="000000" w:themeColor="text1"/>
          <w:sz w:val="22"/>
          <w:szCs w:val="22"/>
        </w:rPr>
        <w:t>Teacher candidates are involved in progressively longer and more engaging field experiences to assure they are prepared for their student teaching field experience and ultimately their first classroom as a licensed teacher. Candidates are also required to complete a Teaching for Learning Capstone (TLC) unit during their student teaching field experience. Lesson plans, unit plans, pre-</w:t>
      </w:r>
      <w:r>
        <w:rPr>
          <w:color w:val="000000" w:themeColor="text1"/>
          <w:sz w:val="22"/>
          <w:szCs w:val="22"/>
        </w:rPr>
        <w:t>/</w:t>
      </w:r>
      <w:r w:rsidRPr="00BF5362">
        <w:rPr>
          <w:color w:val="000000" w:themeColor="text1"/>
          <w:sz w:val="22"/>
          <w:szCs w:val="22"/>
        </w:rPr>
        <w:t xml:space="preserve">post- and formative assessments, differentiation strategies, and so much more go into each section of the rigorous capstone project for student teachers. An important aspect of the process includes reflection for professional development. Candidates are asked to reflect and maintain a growth mindset as professionals seeking continuous </w:t>
      </w:r>
      <w:r w:rsidRPr="00DE74EA">
        <w:rPr>
          <w:color w:val="000000" w:themeColor="text1"/>
          <w:sz w:val="22"/>
          <w:szCs w:val="22"/>
        </w:rPr>
        <w:t>improvement (</w:t>
      </w:r>
      <w:hyperlink r:id="rId16" w:history="1">
        <w:r w:rsidRPr="008A0B66">
          <w:rPr>
            <w:rStyle w:val="Hyperlink"/>
            <w:color w:val="0070C0"/>
            <w:sz w:val="22"/>
            <w:szCs w:val="22"/>
          </w:rPr>
          <w:t>Evidence 7 Overall Reflection and option to click on Reflect for TLC unit</w:t>
        </w:r>
        <w:r w:rsidRPr="00DE74EA">
          <w:rPr>
            <w:rStyle w:val="Hyperlink"/>
            <w:color w:val="000000" w:themeColor="text1"/>
            <w:sz w:val="22"/>
            <w:szCs w:val="22"/>
          </w:rPr>
          <w:t>)</w:t>
        </w:r>
      </w:hyperlink>
      <w:r w:rsidRPr="00DE74EA">
        <w:rPr>
          <w:color w:val="000000" w:themeColor="text1"/>
          <w:sz w:val="22"/>
          <w:szCs w:val="22"/>
        </w:rPr>
        <w:t>. Teacher candidates reflect on their TLC learning experiences (</w:t>
      </w:r>
      <w:hyperlink r:id="rId17" w:history="1">
        <w:r w:rsidRPr="008A0B66">
          <w:rPr>
            <w:rStyle w:val="Hyperlink"/>
            <w:color w:val="0070C0"/>
            <w:sz w:val="22"/>
            <w:szCs w:val="22"/>
          </w:rPr>
          <w:t>Evidence 8 TLC Unit Reflection from K12 Teacher Candidate</w:t>
        </w:r>
      </w:hyperlink>
      <w:r w:rsidRPr="00DE74EA">
        <w:rPr>
          <w:color w:val="000000" w:themeColor="text1"/>
          <w:sz w:val="22"/>
          <w:szCs w:val="22"/>
        </w:rPr>
        <w:t xml:space="preserve"> and </w:t>
      </w:r>
      <w:hyperlink r:id="rId18" w:history="1">
        <w:r w:rsidRPr="008A0B66">
          <w:rPr>
            <w:rStyle w:val="Hyperlink"/>
            <w:color w:val="0070C0"/>
            <w:sz w:val="22"/>
            <w:szCs w:val="22"/>
          </w:rPr>
          <w:t>Evidence 9 TLC Unit Reflection from Secondary Candidate</w:t>
        </w:r>
      </w:hyperlink>
      <w:r w:rsidRPr="00DE74EA">
        <w:rPr>
          <w:color w:val="000000" w:themeColor="text1"/>
          <w:sz w:val="22"/>
          <w:szCs w:val="22"/>
        </w:rPr>
        <w:t>)</w:t>
      </w:r>
      <w:r>
        <w:rPr>
          <w:color w:val="000000" w:themeColor="text1"/>
          <w:sz w:val="22"/>
          <w:szCs w:val="22"/>
        </w:rPr>
        <w:t>.</w:t>
      </w:r>
    </w:p>
    <w:p w14:paraId="522927C6" w14:textId="77777777" w:rsidR="00B27CEF" w:rsidRDefault="00405D20"/>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20"/>
    <w:rsid w:val="00405D20"/>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0D495D"/>
  <w15:chartTrackingRefBased/>
  <w15:docId w15:val="{3D6CD391-9A69-6643-BC9A-57D6524A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D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D20"/>
    <w:rPr>
      <w:color w:val="0563C1" w:themeColor="hyperlink"/>
      <w:u w:val="single"/>
    </w:rPr>
  </w:style>
  <w:style w:type="paragraph" w:styleId="NormalWeb">
    <w:name w:val="Normal (Web)"/>
    <w:basedOn w:val="Normal"/>
    <w:uiPriority w:val="99"/>
    <w:unhideWhenUsed/>
    <w:rsid w:val="00405D20"/>
    <w:pPr>
      <w:spacing w:before="100" w:beforeAutospacing="1" w:after="100" w:afterAutospacing="1"/>
    </w:pPr>
  </w:style>
  <w:style w:type="table" w:styleId="TableGrid">
    <w:name w:val="Table Grid"/>
    <w:basedOn w:val="TableNormal"/>
    <w:uiPriority w:val="39"/>
    <w:rsid w:val="00405D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0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Evidence%20for%20InTASC%20Standard%209.pdf" TargetMode="External"/><Relationship Id="rId13" Type="http://schemas.openxmlformats.org/officeDocument/2006/relationships/hyperlink" Target="https://aprilberntson.myefolio.com/Overallreflection" TargetMode="External"/><Relationship Id="rId18" Type="http://schemas.openxmlformats.org/officeDocument/2006/relationships/hyperlink" Target="https://vcsuintasc.myefolio.com/SecTLCunit/Reflect" TargetMode="External"/><Relationship Id="rId3" Type="http://schemas.openxmlformats.org/officeDocument/2006/relationships/webSettings" Target="webSettings.xml"/><Relationship Id="rId7" Type="http://schemas.openxmlformats.org/officeDocument/2006/relationships/hyperlink" Target="https://vcsuintasc.myefolio.com/Intasc2021/Uploads/2020_Student%20Teaching%20_475_480_485_490_Knodle.pdf" TargetMode="External"/><Relationship Id="rId12" Type="http://schemas.openxmlformats.org/officeDocument/2006/relationships/hyperlink" Target="https://onestop.vcsu.edu/support/solutions/articles/10000052048-student-north-dakota-united-sndu-" TargetMode="External"/><Relationship Id="rId17" Type="http://schemas.openxmlformats.org/officeDocument/2006/relationships/hyperlink" Target="https://vcsuintasc.myefolio.com/PETLC/Reflecting" TargetMode="External"/><Relationship Id="rId2" Type="http://schemas.openxmlformats.org/officeDocument/2006/relationships/settings" Target="settings.xml"/><Relationship Id="rId16" Type="http://schemas.openxmlformats.org/officeDocument/2006/relationships/hyperlink" Target="https://oliviahammerschmidt.myefolio.com/Overallreflec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csuintasc.myefolio.com/Intasc2021/Uploads/EDUC_351_Bass_F20.pdf" TargetMode="External"/><Relationship Id="rId11" Type="http://schemas.openxmlformats.org/officeDocument/2006/relationships/hyperlink" Target="https://www.nd.gov/espb/professional-practices/code-ethics" TargetMode="External"/><Relationship Id="rId5" Type="http://schemas.openxmlformats.org/officeDocument/2006/relationships/hyperlink" Target="https://vcsuintasc.myefolio.com/Intasc2021/Uploads/EDUC_350_Michaelson_F20.pdf" TargetMode="External"/><Relationship Id="rId15" Type="http://schemas.openxmlformats.org/officeDocument/2006/relationships/hyperlink" Target="https://vcsuintasc.myefolio.com/Intasc2021/Uploads/Evidence%20for%20InTASC%20Standard%209.pdf" TargetMode="External"/><Relationship Id="rId10" Type="http://schemas.openxmlformats.org/officeDocument/2006/relationships/hyperlink" Target="https://vcsuintasc.myefolio.com/Intasc2021/Uploads/MCEE_MODEL%20CODE%20OF%20ETHICS%20FOR%20EDUCATORS.pdf" TargetMode="External"/><Relationship Id="rId19" Type="http://schemas.openxmlformats.org/officeDocument/2006/relationships/fontTable" Target="fontTable.xml"/><Relationship Id="rId4" Type="http://schemas.openxmlformats.org/officeDocument/2006/relationships/hyperlink" Target="https://vcsuintasc.myefolio.com/Intasc2021/Uploads/EDUC_250_Bass_F20.pdf" TargetMode="External"/><Relationship Id="rId9" Type="http://schemas.openxmlformats.org/officeDocument/2006/relationships/hyperlink" Target="https://vcsuintasc.myefolio.com/Intasc2021/Uploads/Evidence%20for%20InTASC%20Standard%209.pdf" TargetMode="External"/><Relationship Id="rId14" Type="http://schemas.openxmlformats.org/officeDocument/2006/relationships/hyperlink" Target="https://lakenbreuer.myefolio.com/overallref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2020-12-09T21:12:00Z</dcterms:created>
  <dcterms:modified xsi:type="dcterms:W3CDTF">2020-12-09T21:13:00Z</dcterms:modified>
</cp:coreProperties>
</file>